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tabs>
          <w:tab w:val="left" w:pos="3780"/>
        </w:tabs>
        <w:spacing w:before="120" w:beforeLines="50"/>
        <w:jc w:val="center"/>
        <w:rPr>
          <w:rFonts w:ascii="方正小标宋简体" w:eastAsia="方正小标宋简体"/>
          <w:b/>
          <w:sz w:val="44"/>
          <w:szCs w:val="44"/>
        </w:rPr>
      </w:pPr>
      <w:r>
        <w:rPr>
          <w:rFonts w:hint="eastAsia" w:ascii="方正小标宋简体" w:eastAsia="方正小标宋简体"/>
          <w:b/>
          <w:sz w:val="44"/>
          <w:szCs w:val="44"/>
        </w:rPr>
        <w:t>安徽城市管理职业学院新桥校区方案设计及初步设计采购需求标前公示</w:t>
      </w:r>
    </w:p>
    <w:tbl>
      <w:tblPr>
        <w:tblStyle w:val="50"/>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6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56" w:hRule="atLeast"/>
        </w:trPr>
        <w:tc>
          <w:tcPr>
            <w:tcW w:w="2268" w:type="dxa"/>
            <w:vAlign w:val="center"/>
          </w:tcPr>
          <w:p>
            <w:pPr>
              <w:jc w:val="center"/>
              <w:rPr>
                <w:rFonts w:ascii="宋体" w:hAnsi="宋体" w:cs="仿宋"/>
                <w:b/>
                <w:sz w:val="24"/>
              </w:rPr>
            </w:pPr>
            <w:r>
              <w:rPr>
                <w:rFonts w:hint="eastAsia" w:ascii="宋体" w:hAnsi="宋体" w:cs="仿宋"/>
                <w:b/>
                <w:sz w:val="24"/>
              </w:rPr>
              <w:t>项目名称</w:t>
            </w:r>
          </w:p>
        </w:tc>
        <w:tc>
          <w:tcPr>
            <w:tcW w:w="6663" w:type="dxa"/>
            <w:vAlign w:val="center"/>
          </w:tcPr>
          <w:p>
            <w:pPr>
              <w:rPr>
                <w:rFonts w:ascii="宋体" w:hAnsi="宋体" w:cs="仿宋"/>
                <w:sz w:val="24"/>
              </w:rPr>
            </w:pPr>
            <w:r>
              <w:rPr>
                <w:rFonts w:hint="eastAsia" w:ascii="宋体" w:hAnsi="宋体" w:cs="仿宋"/>
                <w:sz w:val="24"/>
              </w:rPr>
              <w:t>安徽城市管理职业学院新桥校区方案设计及初步设计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268" w:type="dxa"/>
            <w:vAlign w:val="center"/>
          </w:tcPr>
          <w:p>
            <w:pPr>
              <w:jc w:val="center"/>
              <w:rPr>
                <w:rFonts w:ascii="宋体" w:hAnsi="宋体" w:cs="仿宋"/>
                <w:b/>
                <w:sz w:val="24"/>
              </w:rPr>
            </w:pPr>
            <w:r>
              <w:rPr>
                <w:rFonts w:hint="eastAsia" w:ascii="宋体" w:hAnsi="宋体" w:cs="仿宋"/>
                <w:b/>
                <w:sz w:val="24"/>
              </w:rPr>
              <w:t>项目预算</w:t>
            </w:r>
          </w:p>
        </w:tc>
        <w:tc>
          <w:tcPr>
            <w:tcW w:w="6663" w:type="dxa"/>
            <w:vAlign w:val="center"/>
          </w:tcPr>
          <w:p>
            <w:pPr>
              <w:ind w:left="67" w:leftChars="32"/>
              <w:rPr>
                <w:rFonts w:ascii="宋体" w:hAnsi="宋体" w:cs="仿宋"/>
                <w:sz w:val="24"/>
              </w:rPr>
            </w:pPr>
            <w:r>
              <w:rPr>
                <w:rFonts w:ascii="宋体" w:hAnsi="宋体" w:cs="仿宋"/>
                <w:sz w:val="24"/>
              </w:rPr>
              <w:t>1570</w:t>
            </w:r>
            <w:r>
              <w:rPr>
                <w:rFonts w:hint="eastAsia" w:ascii="宋体" w:hAnsi="宋体" w:cs="仿宋"/>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2268" w:type="dxa"/>
            <w:vAlign w:val="center"/>
          </w:tcPr>
          <w:p>
            <w:pPr>
              <w:jc w:val="center"/>
              <w:rPr>
                <w:rFonts w:ascii="宋体" w:hAnsi="宋体" w:cs="仿宋"/>
                <w:sz w:val="24"/>
              </w:rPr>
            </w:pPr>
            <w:r>
              <w:rPr>
                <w:rFonts w:hint="eastAsia" w:ascii="宋体" w:hAnsi="宋体" w:cs="仿宋"/>
                <w:b/>
                <w:sz w:val="24"/>
              </w:rPr>
              <w:t>招标范围</w:t>
            </w:r>
          </w:p>
        </w:tc>
        <w:tc>
          <w:tcPr>
            <w:tcW w:w="6663" w:type="dxa"/>
            <w:vAlign w:val="center"/>
          </w:tcPr>
          <w:p>
            <w:pPr>
              <w:spacing w:line="360" w:lineRule="auto"/>
              <w:rPr>
                <w:rFonts w:ascii="宋体" w:hAnsi="宋体" w:cs="仿宋"/>
                <w:sz w:val="24"/>
              </w:rPr>
            </w:pPr>
            <w:r>
              <w:rPr>
                <w:rFonts w:hint="eastAsia" w:ascii="宋体" w:hAnsi="宋体" w:cs="仿宋"/>
                <w:sz w:val="24"/>
              </w:rPr>
              <w:t>项目主要包括但不限于：</w:t>
            </w:r>
            <w:bookmarkStart w:id="0" w:name="_Hlk150588857"/>
            <w:r>
              <w:rPr>
                <w:rFonts w:hint="eastAsia" w:ascii="宋体" w:hAnsi="宋体" w:cs="仿宋"/>
                <w:sz w:val="24"/>
              </w:rPr>
              <w:t>在安徽城市管理职业学院新桥校区项目概念性规划基础上，本着一次总体规划方案设计，根据用地方案出修建性详细规划成果、初步设计。包括但不限于本项目的修建性详细规划、建筑方案设计及投资估算编制、工程初步勘察、工程详细勘察、土方平衡设计、初步设计及设计概算编制、后续的配合服务（负责工程设计概算的变更、协助造价咨询单位编制造价成果、技术指导等协助完成其他与工程前期设计相关的工作任务）、负责专项评估报告编制（包括但不限于交通影响评价报告、水土保持方案、环境影响评价报告、建筑节能评估报告、绿色建筑设计方案等）及评审工作等</w:t>
            </w:r>
            <w:bookmarkEnd w:id="0"/>
            <w:r>
              <w:rPr>
                <w:rFonts w:hint="eastAsia" w:ascii="宋体" w:hAnsi="宋体" w:cs="仿宋"/>
                <w:sz w:val="24"/>
              </w:rPr>
              <w:t>。方案设计及方案设计服务项目数量以实际开展业务为准，设计费用根据初步设计批复的建筑面积乘以中标单价结算。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2268" w:type="dxa"/>
            <w:vAlign w:val="center"/>
          </w:tcPr>
          <w:p>
            <w:pPr>
              <w:jc w:val="center"/>
              <w:rPr>
                <w:rFonts w:ascii="宋体" w:hAnsi="宋体" w:cs="仿宋"/>
                <w:b/>
                <w:sz w:val="24"/>
              </w:rPr>
            </w:pPr>
            <w:r>
              <w:rPr>
                <w:rFonts w:hint="eastAsia" w:ascii="宋体" w:hAnsi="宋体" w:cs="仿宋"/>
                <w:b/>
                <w:sz w:val="24"/>
              </w:rPr>
              <w:t>评标办法及评分标准</w:t>
            </w:r>
          </w:p>
        </w:tc>
        <w:tc>
          <w:tcPr>
            <w:tcW w:w="6663" w:type="dxa"/>
            <w:vAlign w:val="center"/>
          </w:tcPr>
          <w:p>
            <w:pPr>
              <w:autoSpaceDE w:val="0"/>
              <w:autoSpaceDN w:val="0"/>
              <w:adjustRightInd w:val="0"/>
              <w:spacing w:line="360" w:lineRule="auto"/>
              <w:jc w:val="left"/>
              <w:rPr>
                <w:rFonts w:ascii="宋体" w:hAnsi="宋体" w:cs="仿宋"/>
                <w:sz w:val="24"/>
              </w:rPr>
            </w:pPr>
            <w:r>
              <w:rPr>
                <w:rFonts w:hint="eastAsia" w:ascii="宋体" w:hAnsi="宋体" w:cs="仿宋"/>
                <w:sz w:val="24"/>
              </w:rPr>
              <w:t>综合评估法（一次平均），具体见附件2。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9" w:hRule="atLeast"/>
        </w:trPr>
        <w:tc>
          <w:tcPr>
            <w:tcW w:w="2268" w:type="dxa"/>
            <w:vAlign w:val="center"/>
          </w:tcPr>
          <w:p>
            <w:pPr>
              <w:jc w:val="center"/>
              <w:rPr>
                <w:rFonts w:ascii="宋体" w:hAnsi="宋体" w:cs="仿宋"/>
                <w:b/>
                <w:sz w:val="24"/>
              </w:rPr>
            </w:pPr>
            <w:r>
              <w:rPr>
                <w:rFonts w:hint="eastAsia" w:ascii="宋体" w:hAnsi="宋体" w:cs="仿宋"/>
                <w:b/>
                <w:sz w:val="24"/>
              </w:rPr>
              <w:t>投标人资格要求</w:t>
            </w:r>
          </w:p>
        </w:tc>
        <w:tc>
          <w:tcPr>
            <w:tcW w:w="6663" w:type="dxa"/>
            <w:vAlign w:val="center"/>
          </w:tcPr>
          <w:p>
            <w:pPr>
              <w:autoSpaceDE w:val="0"/>
              <w:autoSpaceDN w:val="0"/>
              <w:adjustRightInd w:val="0"/>
              <w:spacing w:line="360" w:lineRule="auto"/>
              <w:jc w:val="left"/>
              <w:rPr>
                <w:rFonts w:ascii="宋体" w:hAnsi="宋体" w:cs="仿宋"/>
                <w:sz w:val="24"/>
              </w:rPr>
            </w:pPr>
            <w:r>
              <w:rPr>
                <w:rFonts w:hint="eastAsia" w:ascii="宋体" w:hAnsi="宋体" w:cs="仿宋"/>
                <w:sz w:val="24"/>
              </w:rPr>
              <w:t>1</w:t>
            </w:r>
            <w:r>
              <w:rPr>
                <w:rFonts w:ascii="宋体" w:hAnsi="宋体" w:cs="仿宋"/>
                <w:sz w:val="24"/>
              </w:rPr>
              <w:t>.</w:t>
            </w:r>
            <w:r>
              <w:rPr>
                <w:rFonts w:hint="eastAsia" w:ascii="宋体" w:hAnsi="宋体" w:cs="仿宋"/>
                <w:sz w:val="24"/>
              </w:rPr>
              <w:t>投标人应依法设立并具备承担本招标项目的如下条件：</w:t>
            </w:r>
          </w:p>
          <w:p>
            <w:pPr>
              <w:autoSpaceDE w:val="0"/>
              <w:autoSpaceDN w:val="0"/>
              <w:adjustRightInd w:val="0"/>
              <w:spacing w:line="360" w:lineRule="auto"/>
              <w:jc w:val="left"/>
              <w:rPr>
                <w:rFonts w:hint="eastAsia" w:ascii="宋体" w:hAnsi="宋体" w:cs="仿宋"/>
                <w:sz w:val="24"/>
              </w:rPr>
            </w:pPr>
            <w:r>
              <w:rPr>
                <w:rFonts w:hint="eastAsia" w:ascii="宋体" w:hAnsi="宋体" w:cs="仿宋"/>
                <w:sz w:val="24"/>
              </w:rPr>
              <w:t>1.1投标人资质要求</w:t>
            </w:r>
            <w:r>
              <w:rPr>
                <w:rFonts w:hint="eastAsia" w:ascii="宋体" w:hAnsi="宋体" w:cs="仿宋"/>
                <w:sz w:val="24"/>
                <w:lang w:eastAsia="zh-CN"/>
              </w:rPr>
              <w:t>，</w:t>
            </w:r>
            <w:r>
              <w:rPr>
                <w:rFonts w:hint="eastAsia" w:ascii="宋体" w:hAnsi="宋体" w:cs="仿宋"/>
                <w:sz w:val="24"/>
              </w:rPr>
              <w:t>投标人须同时具备</w:t>
            </w:r>
          </w:p>
          <w:p>
            <w:pPr>
              <w:autoSpaceDE w:val="0"/>
              <w:autoSpaceDN w:val="0"/>
              <w:adjustRightInd w:val="0"/>
              <w:spacing w:line="360" w:lineRule="auto"/>
              <w:jc w:val="left"/>
              <w:rPr>
                <w:rFonts w:hint="eastAsia" w:ascii="宋体" w:hAnsi="宋体" w:cs="仿宋"/>
                <w:sz w:val="24"/>
              </w:rPr>
            </w:pPr>
            <w:r>
              <w:rPr>
                <w:rFonts w:hint="default" w:ascii="宋体" w:hAnsi="宋体" w:cs="仿宋"/>
                <w:sz w:val="24"/>
              </w:rPr>
              <w:t>①</w:t>
            </w:r>
            <w:r>
              <w:rPr>
                <w:rFonts w:hint="eastAsia" w:ascii="宋体" w:hAnsi="宋体" w:cs="仿宋"/>
                <w:sz w:val="24"/>
              </w:rPr>
              <w:t>设计资质：具备建筑行业（建筑工程）甲级设计资质或建筑行业甲级设计资质或工程设计综合资质。</w:t>
            </w:r>
          </w:p>
          <w:p>
            <w:pPr>
              <w:autoSpaceDE w:val="0"/>
              <w:autoSpaceDN w:val="0"/>
              <w:adjustRightInd w:val="0"/>
              <w:spacing w:line="360" w:lineRule="auto"/>
              <w:jc w:val="left"/>
              <w:rPr>
                <w:rFonts w:ascii="宋体" w:hAnsi="宋体" w:cs="仿宋"/>
                <w:sz w:val="24"/>
              </w:rPr>
            </w:pPr>
            <w:r>
              <w:rPr>
                <w:rFonts w:hint="default" w:ascii="宋体" w:hAnsi="宋体" w:cs="仿宋"/>
                <w:sz w:val="24"/>
              </w:rPr>
              <w:t>②</w:t>
            </w:r>
            <w:r>
              <w:rPr>
                <w:rFonts w:hint="eastAsia" w:ascii="宋体" w:hAnsi="宋体" w:cs="仿宋"/>
                <w:sz w:val="24"/>
              </w:rPr>
              <w:t>勘察资质:工程勘察专业类（包含工程测量、岩土工程）甲级资质或工程勘察综合资质。</w:t>
            </w:r>
          </w:p>
          <w:p>
            <w:pPr>
              <w:autoSpaceDE w:val="0"/>
              <w:autoSpaceDN w:val="0"/>
              <w:adjustRightInd w:val="0"/>
              <w:spacing w:line="360" w:lineRule="auto"/>
              <w:jc w:val="left"/>
              <w:rPr>
                <w:rFonts w:ascii="宋体" w:hAnsi="宋体" w:cs="仿宋"/>
                <w:sz w:val="24"/>
              </w:rPr>
            </w:pPr>
            <w:r>
              <w:rPr>
                <w:rFonts w:hint="eastAsia" w:ascii="宋体" w:hAnsi="宋体" w:cs="仿宋"/>
                <w:sz w:val="24"/>
              </w:rPr>
              <w:t>1.2投标人业绩要求：自2020年1月1日以来，投标人须具备至少1个单项合同建筑面积20万平米及以上公共建筑项目设计业绩（设计内容必须包含初步设计）。</w:t>
            </w:r>
          </w:p>
          <w:p>
            <w:pPr>
              <w:autoSpaceDE w:val="0"/>
              <w:autoSpaceDN w:val="0"/>
              <w:adjustRightInd w:val="0"/>
              <w:spacing w:line="360" w:lineRule="auto"/>
              <w:jc w:val="left"/>
              <w:rPr>
                <w:rFonts w:ascii="宋体" w:hAnsi="宋体" w:cs="仿宋"/>
                <w:sz w:val="24"/>
              </w:rPr>
            </w:pPr>
            <w:r>
              <w:rPr>
                <w:rFonts w:hint="eastAsia" w:ascii="宋体" w:hAnsi="宋体" w:cs="仿宋"/>
                <w:sz w:val="24"/>
              </w:rPr>
              <w:t>1.3项目负责人资格要求：项目负责人须具备一级注册建筑师资格。</w:t>
            </w:r>
          </w:p>
          <w:p>
            <w:pPr>
              <w:autoSpaceDE w:val="0"/>
              <w:autoSpaceDN w:val="0"/>
              <w:adjustRightInd w:val="0"/>
              <w:spacing w:line="360" w:lineRule="auto"/>
              <w:jc w:val="left"/>
              <w:rPr>
                <w:rFonts w:ascii="宋体" w:hAnsi="宋体" w:cs="仿宋"/>
                <w:sz w:val="24"/>
              </w:rPr>
            </w:pPr>
            <w:r>
              <w:rPr>
                <w:rFonts w:hint="eastAsia" w:ascii="宋体" w:hAnsi="宋体" w:cs="仿宋"/>
                <w:sz w:val="24"/>
              </w:rPr>
              <w:t>1.4项目负责人业绩要求：</w:t>
            </w:r>
            <w:r>
              <w:rPr>
                <w:rFonts w:hint="eastAsia" w:ascii="宋体" w:hAnsi="宋体" w:cs="仿宋"/>
                <w:sz w:val="24"/>
                <w:u w:val="single"/>
                <w:lang w:val="en-US" w:eastAsia="zh-CN"/>
              </w:rPr>
              <w:t xml:space="preserve"> </w:t>
            </w:r>
            <w:r>
              <w:rPr>
                <w:rFonts w:hint="eastAsia" w:ascii="宋体" w:hAnsi="宋体" w:cs="仿宋"/>
                <w:sz w:val="24"/>
                <w:u w:val="single"/>
              </w:rPr>
              <w:t>/</w:t>
            </w:r>
            <w:r>
              <w:rPr>
                <w:rFonts w:hint="eastAsia" w:ascii="宋体" w:hAnsi="宋体" w:cs="仿宋"/>
                <w:sz w:val="24"/>
              </w:rPr>
              <w:t>。</w:t>
            </w:r>
          </w:p>
          <w:p>
            <w:pPr>
              <w:autoSpaceDE w:val="0"/>
              <w:autoSpaceDN w:val="0"/>
              <w:adjustRightInd w:val="0"/>
              <w:spacing w:line="360" w:lineRule="auto"/>
              <w:jc w:val="left"/>
              <w:rPr>
                <w:rFonts w:ascii="宋体" w:hAnsi="宋体" w:cs="仿宋"/>
                <w:sz w:val="24"/>
              </w:rPr>
            </w:pPr>
            <w:r>
              <w:rPr>
                <w:rFonts w:hint="eastAsia" w:ascii="宋体" w:hAnsi="宋体" w:cs="仿宋"/>
                <w:sz w:val="24"/>
              </w:rPr>
              <w:t>1.5投标人财务要求：</w:t>
            </w:r>
            <w:r>
              <w:rPr>
                <w:rFonts w:hint="eastAsia" w:ascii="宋体" w:hAnsi="宋体" w:cs="仿宋"/>
                <w:sz w:val="24"/>
                <w:u w:val="single"/>
                <w:lang w:val="en-US" w:eastAsia="zh-CN"/>
              </w:rPr>
              <w:t xml:space="preserve"> </w:t>
            </w:r>
            <w:r>
              <w:rPr>
                <w:rFonts w:hint="eastAsia" w:ascii="宋体" w:hAnsi="宋体" w:cs="仿宋"/>
                <w:sz w:val="24"/>
                <w:u w:val="single"/>
              </w:rPr>
              <w:t>/</w:t>
            </w:r>
            <w:r>
              <w:rPr>
                <w:rFonts w:hint="eastAsia" w:ascii="宋体" w:hAnsi="宋体" w:cs="仿宋"/>
                <w:sz w:val="24"/>
              </w:rPr>
              <w:t>。</w:t>
            </w:r>
          </w:p>
          <w:p>
            <w:pPr>
              <w:autoSpaceDE w:val="0"/>
              <w:autoSpaceDN w:val="0"/>
              <w:adjustRightInd w:val="0"/>
              <w:spacing w:line="360" w:lineRule="auto"/>
              <w:jc w:val="left"/>
              <w:rPr>
                <w:rFonts w:ascii="宋体" w:hAnsi="宋体" w:cs="仿宋"/>
                <w:sz w:val="24"/>
              </w:rPr>
            </w:pPr>
            <w:r>
              <w:rPr>
                <w:rFonts w:hint="eastAsia" w:ascii="宋体" w:hAnsi="宋体" w:cs="仿宋"/>
                <w:sz w:val="24"/>
              </w:rPr>
              <w:t>1.6信誉要求：投标人未被合肥市及其所辖县（市）、区（开发区）公共资源交易监督管理部门记不良行为记录的或被记不良行为记录（以公布日期为准），但同时符合下列情形的：</w:t>
            </w:r>
          </w:p>
          <w:p>
            <w:pPr>
              <w:autoSpaceDE w:val="0"/>
              <w:autoSpaceDN w:val="0"/>
              <w:adjustRightInd w:val="0"/>
              <w:spacing w:line="360" w:lineRule="auto"/>
              <w:jc w:val="left"/>
              <w:rPr>
                <w:rFonts w:ascii="宋体" w:hAnsi="宋体" w:cs="仿宋"/>
                <w:sz w:val="24"/>
              </w:rPr>
            </w:pPr>
            <w:r>
              <w:rPr>
                <w:rFonts w:hint="eastAsia" w:ascii="宋体" w:hAnsi="宋体" w:cs="仿宋"/>
                <w:sz w:val="24"/>
              </w:rPr>
              <w:t>（1）开标日前（含当日）6个月内记分累计未满10分的。</w:t>
            </w:r>
          </w:p>
          <w:p>
            <w:pPr>
              <w:autoSpaceDE w:val="0"/>
              <w:autoSpaceDN w:val="0"/>
              <w:adjustRightInd w:val="0"/>
              <w:spacing w:line="360" w:lineRule="auto"/>
              <w:jc w:val="left"/>
              <w:rPr>
                <w:rFonts w:ascii="宋体" w:hAnsi="宋体" w:cs="仿宋"/>
                <w:sz w:val="24"/>
              </w:rPr>
            </w:pPr>
            <w:r>
              <w:rPr>
                <w:rFonts w:hint="eastAsia" w:ascii="宋体" w:hAnsi="宋体" w:cs="仿宋"/>
                <w:sz w:val="24"/>
              </w:rPr>
              <w:t>（2）开标日前（含当日）12个月内记分累计未满15分的。</w:t>
            </w:r>
          </w:p>
          <w:p>
            <w:pPr>
              <w:autoSpaceDE w:val="0"/>
              <w:autoSpaceDN w:val="0"/>
              <w:adjustRightInd w:val="0"/>
              <w:spacing w:line="360" w:lineRule="auto"/>
              <w:jc w:val="left"/>
              <w:rPr>
                <w:rFonts w:ascii="宋体" w:hAnsi="宋体" w:cs="仿宋"/>
                <w:sz w:val="24"/>
              </w:rPr>
            </w:pPr>
            <w:r>
              <w:rPr>
                <w:rFonts w:hint="eastAsia" w:ascii="宋体" w:hAnsi="宋体" w:cs="仿宋"/>
                <w:sz w:val="24"/>
              </w:rPr>
              <w:t>（3）开标日前（含当日）18个月内记分累计未满20分的。</w:t>
            </w:r>
          </w:p>
          <w:p>
            <w:pPr>
              <w:autoSpaceDE w:val="0"/>
              <w:autoSpaceDN w:val="0"/>
              <w:adjustRightInd w:val="0"/>
              <w:spacing w:line="360" w:lineRule="auto"/>
              <w:jc w:val="left"/>
              <w:rPr>
                <w:rFonts w:ascii="宋体" w:hAnsi="宋体" w:cs="仿宋"/>
                <w:sz w:val="24"/>
              </w:rPr>
            </w:pPr>
            <w:r>
              <w:rPr>
                <w:rFonts w:hint="eastAsia" w:ascii="宋体" w:hAnsi="宋体" w:cs="仿宋"/>
                <w:sz w:val="24"/>
              </w:rPr>
              <w:t>（4）开标日前（含当日）24个月内记分累计未满25分的。</w:t>
            </w:r>
          </w:p>
          <w:p>
            <w:pPr>
              <w:autoSpaceDE w:val="0"/>
              <w:autoSpaceDN w:val="0"/>
              <w:adjustRightInd w:val="0"/>
              <w:spacing w:line="360" w:lineRule="auto"/>
              <w:jc w:val="left"/>
              <w:rPr>
                <w:rFonts w:hint="eastAsia" w:ascii="宋体" w:hAnsi="宋体" w:cs="仿宋"/>
                <w:sz w:val="24"/>
              </w:rPr>
            </w:pPr>
            <w:r>
              <w:rPr>
                <w:rFonts w:hint="eastAsia" w:ascii="宋体" w:hAnsi="宋体" w:cs="仿宋"/>
                <w:sz w:val="24"/>
              </w:rPr>
              <w:t>1.7本招标项目接受联合体投标。联合体投标的，应满足下列要求：如组成联合体投标，联合体成员总数量不得超过2家。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9" w:hRule="atLeast"/>
        </w:trPr>
        <w:tc>
          <w:tcPr>
            <w:tcW w:w="2268" w:type="dxa"/>
            <w:vAlign w:val="center"/>
          </w:tcPr>
          <w:p>
            <w:pPr>
              <w:jc w:val="center"/>
              <w:rPr>
                <w:rFonts w:ascii="宋体" w:hAnsi="宋体" w:cs="仿宋"/>
                <w:b/>
                <w:sz w:val="24"/>
              </w:rPr>
            </w:pPr>
            <w:r>
              <w:rPr>
                <w:rFonts w:hint="eastAsia" w:cs="宋体"/>
                <w:sz w:val="24"/>
              </w:rPr>
              <w:t>技术成果经济补偿</w:t>
            </w:r>
          </w:p>
        </w:tc>
        <w:tc>
          <w:tcPr>
            <w:tcW w:w="6663" w:type="dxa"/>
            <w:vAlign w:val="center"/>
          </w:tcPr>
          <w:p>
            <w:pPr>
              <w:snapToGrid w:val="0"/>
              <w:spacing w:line="360" w:lineRule="auto"/>
              <w:jc w:val="left"/>
              <w:rPr>
                <w:rFonts w:cs="宋体"/>
                <w:sz w:val="24"/>
              </w:rPr>
            </w:pPr>
            <w:r>
              <w:rPr>
                <w:rFonts w:hint="eastAsia" w:cs="宋体"/>
                <w:sz w:val="24"/>
              </w:rPr>
              <w:t>1.本项目最终得分最高的为中标人，承担本项目后续设计工作，其设计方案无任何费用补偿。给予第二中标候选人方案补偿费15万元，第三中标候选人方案补偿费10万元，该费用包含在中标人的设计费中，由中标人支付。</w:t>
            </w:r>
          </w:p>
          <w:p>
            <w:pPr>
              <w:snapToGrid w:val="0"/>
              <w:spacing w:line="360" w:lineRule="auto"/>
              <w:jc w:val="left"/>
              <w:rPr>
                <w:rFonts w:cs="宋体"/>
                <w:sz w:val="24"/>
              </w:rPr>
            </w:pPr>
            <w:r>
              <w:rPr>
                <w:rFonts w:hint="eastAsia" w:cs="宋体"/>
                <w:sz w:val="24"/>
              </w:rPr>
              <w:t>2.中标后，在招标人与中标人设计合同签署生效后30天内，中标人负责向上述应获得补偿的投标人支付方案补偿费，由上述获得补偿费的投标人向中标人提供足额发票。</w:t>
            </w:r>
          </w:p>
          <w:p>
            <w:pPr>
              <w:snapToGrid w:val="0"/>
              <w:spacing w:line="360" w:lineRule="auto"/>
              <w:jc w:val="left"/>
              <w:rPr>
                <w:rFonts w:cs="宋体"/>
                <w:sz w:val="24"/>
              </w:rPr>
            </w:pPr>
            <w:r>
              <w:rPr>
                <w:rFonts w:hint="eastAsia" w:cs="宋体"/>
                <w:sz w:val="24"/>
              </w:rPr>
              <w:t>3.中标人在支付上述投标人设计补偿费后，获得设计补偿费的投标人的设计方案，知识产权归招标人所有，招标人享有获得设计补偿费的投标人的设计成果。</w:t>
            </w:r>
          </w:p>
          <w:p>
            <w:pPr>
              <w:autoSpaceDE w:val="0"/>
              <w:autoSpaceDN w:val="0"/>
              <w:adjustRightInd w:val="0"/>
              <w:spacing w:line="360" w:lineRule="auto"/>
              <w:jc w:val="left"/>
              <w:rPr>
                <w:rFonts w:ascii="宋体" w:hAnsi="宋体" w:cs="仿宋"/>
                <w:color w:val="FF0000"/>
                <w:sz w:val="24"/>
              </w:rPr>
            </w:pPr>
            <w:r>
              <w:rPr>
                <w:rFonts w:hint="eastAsia" w:cs="宋体"/>
                <w:sz w:val="24"/>
              </w:rPr>
              <w:t>4.支付设计补偿费之前，中标人及获得设计补偿的投标人需向招标人</w:t>
            </w:r>
            <w:r>
              <w:rPr>
                <w:rFonts w:ascii="Leelawadee UI" w:hAnsi="Leelawadee UI" w:cs="Leelawadee UI"/>
                <w:sz w:val="24"/>
              </w:rPr>
              <w:t>提</w:t>
            </w:r>
            <w:r>
              <w:rPr>
                <w:rFonts w:hint="eastAsia" w:cs="宋体"/>
                <w:sz w:val="24"/>
              </w:rPr>
              <w:t>供与投标时一致的设计方案的文件资料（包含全套解密电子版文件），一式二份，否则不予支付设计补偿费。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3" w:hRule="atLeast"/>
        </w:trPr>
        <w:tc>
          <w:tcPr>
            <w:tcW w:w="2268" w:type="dxa"/>
            <w:vAlign w:val="center"/>
          </w:tcPr>
          <w:p>
            <w:pPr>
              <w:jc w:val="center"/>
              <w:rPr>
                <w:rFonts w:ascii="宋体" w:hAnsi="宋体" w:cs="仿宋"/>
                <w:b/>
                <w:sz w:val="24"/>
              </w:rPr>
            </w:pPr>
            <w:r>
              <w:rPr>
                <w:rFonts w:hint="eastAsia" w:ascii="宋体" w:hAnsi="宋体" w:cs="仿宋"/>
                <w:b/>
                <w:sz w:val="24"/>
              </w:rPr>
              <w:t>发包人要求</w:t>
            </w:r>
          </w:p>
        </w:tc>
        <w:tc>
          <w:tcPr>
            <w:tcW w:w="6663" w:type="dxa"/>
            <w:vAlign w:val="center"/>
          </w:tcPr>
          <w:p>
            <w:pPr>
              <w:autoSpaceDE w:val="0"/>
              <w:autoSpaceDN w:val="0"/>
              <w:adjustRightInd w:val="0"/>
              <w:spacing w:line="360" w:lineRule="auto"/>
              <w:jc w:val="left"/>
              <w:rPr>
                <w:rFonts w:ascii="宋体" w:hAnsi="宋体" w:cs="仿宋"/>
                <w:sz w:val="24"/>
              </w:rPr>
            </w:pPr>
            <w:r>
              <w:rPr>
                <w:rFonts w:hint="eastAsia" w:ascii="宋体" w:hAnsi="宋体" w:cs="仿宋"/>
                <w:sz w:val="24"/>
              </w:rPr>
              <w:t>具体见附件1</w:t>
            </w:r>
          </w:p>
        </w:tc>
      </w:tr>
    </w:tbl>
    <w:p>
      <w:pPr>
        <w:spacing w:line="360" w:lineRule="auto"/>
        <w:jc w:val="center"/>
        <w:rPr>
          <w:rFonts w:ascii="黑体" w:hAnsi="黑体" w:eastAsia="黑体" w:cs="黑体"/>
          <w:bCs/>
          <w:snapToGrid w:val="0"/>
          <w:kern w:val="0"/>
          <w:sz w:val="32"/>
          <w:szCs w:val="32"/>
        </w:rPr>
      </w:pPr>
      <w:r>
        <w:rPr>
          <w:rFonts w:ascii="黑体" w:hAnsi="黑体" w:eastAsia="黑体" w:cs="黑体"/>
          <w:bCs/>
          <w:snapToGrid w:val="0"/>
          <w:kern w:val="0"/>
          <w:sz w:val="32"/>
          <w:szCs w:val="32"/>
        </w:rPr>
        <w:br w:type="page"/>
      </w:r>
    </w:p>
    <w:p>
      <w:pPr>
        <w:spacing w:line="360" w:lineRule="auto"/>
        <w:jc w:val="center"/>
        <w:rPr>
          <w:rFonts w:ascii="黑体" w:hAnsi="黑体" w:eastAsia="黑体" w:cs="黑体"/>
          <w:bCs/>
          <w:snapToGrid w:val="0"/>
          <w:kern w:val="0"/>
          <w:sz w:val="32"/>
          <w:szCs w:val="32"/>
        </w:rPr>
      </w:pPr>
      <w:r>
        <w:rPr>
          <w:rFonts w:hint="eastAsia" w:ascii="黑体" w:hAnsi="黑体" w:eastAsia="黑体" w:cs="黑体"/>
          <w:bCs/>
          <w:snapToGrid w:val="0"/>
          <w:kern w:val="0"/>
          <w:sz w:val="32"/>
          <w:szCs w:val="32"/>
        </w:rPr>
        <w:t>附件1发包人要求</w:t>
      </w:r>
    </w:p>
    <w:p>
      <w:pPr>
        <w:spacing w:line="360" w:lineRule="auto"/>
        <w:ind w:firstLine="482" w:firstLineChars="200"/>
        <w:rPr>
          <w:rFonts w:ascii="宋体" w:hAnsi="宋体" w:cs="宋体"/>
          <w:b/>
          <w:bCs/>
          <w:sz w:val="24"/>
        </w:rPr>
      </w:pPr>
      <w:r>
        <w:rPr>
          <w:rFonts w:hint="eastAsia" w:ascii="宋体" w:hAnsi="宋体" w:cs="宋体"/>
          <w:b/>
          <w:bCs/>
          <w:sz w:val="24"/>
        </w:rPr>
        <w:t>一、项目概况</w:t>
      </w:r>
    </w:p>
    <w:p>
      <w:pPr>
        <w:spacing w:line="360" w:lineRule="auto"/>
        <w:ind w:firstLine="480" w:firstLineChars="200"/>
        <w:rPr>
          <w:rFonts w:ascii="宋体" w:hAnsi="宋体" w:cs="宋体"/>
          <w:sz w:val="24"/>
        </w:rPr>
      </w:pPr>
      <w:r>
        <w:rPr>
          <w:rFonts w:hint="eastAsia" w:ascii="宋体" w:hAnsi="宋体" w:cs="宋体"/>
          <w:sz w:val="24"/>
        </w:rPr>
        <w:t>安徽城市管理职业学院新桥校区，位于安徽省寿县新桥国际产业园迎宾大道与共建路西南侧，首期规划用地面积约492亩，总建筑面积约34.67万平方米。估算约17.87亿元（其中建筑安装工程费约15.25亿元）。本着一次规划、多期建设为目标，新桥校区建设内容主要包括专业实训教学用房及场所、教学楼、图书馆、行政楼与信息中心、室内体育用房、二级学院及教师办公用房、大学生活动用房及礼堂、学生宿舍、食堂、地下人防和停车场、后勤及附属用房等工程。</w:t>
      </w:r>
    </w:p>
    <w:p>
      <w:pPr>
        <w:widowControl/>
        <w:spacing w:line="360" w:lineRule="auto"/>
        <w:ind w:firstLine="482" w:firstLineChars="200"/>
        <w:jc w:val="left"/>
        <w:rPr>
          <w:rFonts w:ascii="宋体" w:hAnsi="宋体" w:cs="宋体"/>
          <w:kern w:val="0"/>
          <w:sz w:val="24"/>
        </w:rPr>
      </w:pPr>
      <w:r>
        <w:rPr>
          <w:rFonts w:hint="eastAsia" w:ascii="宋体" w:hAnsi="宋体" w:cs="宋体"/>
          <w:b/>
          <w:bCs/>
          <w:kern w:val="0"/>
          <w:sz w:val="24"/>
        </w:rPr>
        <w:t>二、设计范围及内容</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设计范围：安徽城市管理职业学院新桥校区修建性详细规划、建筑方案设计及初步设计。</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设计内容包括但不限于：</w:t>
      </w:r>
      <w:r>
        <w:rPr>
          <w:rFonts w:hint="eastAsia" w:ascii="宋体" w:hAnsi="宋体" w:cs="宋体"/>
          <w:sz w:val="24"/>
        </w:rPr>
        <w:t>安徽城市管理职业学院新桥校区项目本着一次总体项目修建性详细规划、建筑方案设计、工程勘察、初步设计的原则。具体内容如下：</w:t>
      </w:r>
    </w:p>
    <w:p>
      <w:pPr>
        <w:widowControl/>
        <w:spacing w:line="360" w:lineRule="auto"/>
        <w:ind w:firstLine="480" w:firstLineChars="200"/>
        <w:jc w:val="left"/>
        <w:rPr>
          <w:rFonts w:ascii="宋体" w:hAnsi="宋体" w:cs="宋体"/>
          <w:sz w:val="24"/>
        </w:rPr>
      </w:pPr>
      <w:r>
        <w:rPr>
          <w:rFonts w:hint="eastAsia" w:ascii="宋体" w:hAnsi="宋体" w:cs="宋体"/>
          <w:sz w:val="24"/>
        </w:rPr>
        <w:t>工程设计范围、阶段与服务内容</w:t>
      </w:r>
    </w:p>
    <w:p>
      <w:pPr>
        <w:widowControl/>
        <w:spacing w:line="360" w:lineRule="auto"/>
        <w:ind w:firstLine="480" w:firstLineChars="200"/>
        <w:jc w:val="left"/>
        <w:rPr>
          <w:rFonts w:ascii="宋体" w:hAnsi="宋体" w:cs="宋体"/>
          <w:sz w:val="24"/>
        </w:rPr>
      </w:pPr>
      <w:r>
        <w:rPr>
          <w:rFonts w:hint="eastAsia" w:ascii="宋体" w:hAnsi="宋体" w:cs="宋体"/>
          <w:sz w:val="24"/>
        </w:rPr>
        <w:t>（一）本工程设计范围</w:t>
      </w:r>
    </w:p>
    <w:p>
      <w:pPr>
        <w:widowControl/>
        <w:spacing w:line="360" w:lineRule="auto"/>
        <w:ind w:firstLine="480" w:firstLineChars="200"/>
        <w:jc w:val="left"/>
        <w:rPr>
          <w:rFonts w:ascii="宋体" w:hAnsi="宋体" w:cs="宋体"/>
          <w:sz w:val="24"/>
        </w:rPr>
      </w:pPr>
      <w:r>
        <w:rPr>
          <w:rFonts w:hint="eastAsia" w:ascii="宋体" w:hAnsi="宋体" w:cs="宋体"/>
          <w:sz w:val="24"/>
        </w:rPr>
        <w:t>规划用地范围的总平面规划设计及相关的建筑物、构筑物的有关建筑、结构、给水排水、暖通空调、建筑电气的方案及初步设计阶段、负责专项评估报告编制（包括但不限于交通影响评价报告、水土保持方案、环境影响评价报告、建筑节能评估报告、绿色建筑设计方案等）及评审工作。主要包含如下：</w:t>
      </w:r>
    </w:p>
    <w:p>
      <w:pPr>
        <w:widowControl/>
        <w:spacing w:line="360" w:lineRule="auto"/>
        <w:ind w:firstLine="480" w:firstLineChars="200"/>
        <w:jc w:val="left"/>
        <w:rPr>
          <w:rFonts w:ascii="宋体" w:hAnsi="宋体" w:cs="宋体"/>
          <w:sz w:val="24"/>
        </w:rPr>
      </w:pPr>
      <w:r>
        <w:rPr>
          <w:rFonts w:hint="eastAsia" w:ascii="宋体" w:hAnsi="宋体" w:cs="宋体"/>
          <w:sz w:val="24"/>
          <w:lang w:val="en-US" w:eastAsia="zh-CN"/>
        </w:rPr>
        <w:t>1.</w:t>
      </w:r>
      <w:r>
        <w:rPr>
          <w:rFonts w:hint="eastAsia" w:ascii="宋体" w:hAnsi="宋体" w:cs="宋体"/>
          <w:sz w:val="24"/>
        </w:rPr>
        <w:t>修建性详细规划及各阶段工程方案及初步设计，包含不限于建筑、人防、专项设计（深基坑专项设计、建筑智能化设计等）、结构、强电、智能化（含配合第三方智慧校园设计）、暖通、给排水、消防、室内外装饰装修、室外幕墙、风景园林、照明等专业成果文件且确保达到节能、绿色建筑等要求。</w:t>
      </w:r>
    </w:p>
    <w:p>
      <w:pPr>
        <w:widowControl/>
        <w:spacing w:line="360" w:lineRule="auto"/>
        <w:ind w:firstLine="480" w:firstLineChars="200"/>
        <w:jc w:val="left"/>
        <w:rPr>
          <w:rFonts w:ascii="宋体" w:hAnsi="宋体" w:cs="宋体"/>
          <w:sz w:val="24"/>
        </w:rPr>
      </w:pPr>
      <w:r>
        <w:rPr>
          <w:rFonts w:hint="eastAsia" w:ascii="宋体" w:hAnsi="宋体" w:cs="宋体"/>
          <w:sz w:val="24"/>
          <w:lang w:val="en-US" w:eastAsia="zh-CN"/>
        </w:rPr>
        <w:t>2.</w:t>
      </w:r>
      <w:r>
        <w:rPr>
          <w:rFonts w:hint="eastAsia" w:ascii="宋体" w:hAnsi="宋体" w:cs="宋体"/>
          <w:sz w:val="24"/>
        </w:rPr>
        <w:t>综合管网：按发包人要求进行以下全部或部分专业方案及初步设计：道路、雨污水管网、通讯、宽带、供水、供电、标线系统、标识系统等的方案及初步设计。</w:t>
      </w:r>
    </w:p>
    <w:p>
      <w:pPr>
        <w:widowControl/>
        <w:spacing w:line="360" w:lineRule="auto"/>
        <w:ind w:firstLine="480" w:firstLineChars="200"/>
        <w:jc w:val="left"/>
        <w:rPr>
          <w:rFonts w:ascii="宋体" w:hAnsi="宋体" w:cs="宋体"/>
          <w:kern w:val="0"/>
          <w:sz w:val="24"/>
        </w:rPr>
      </w:pPr>
      <w:r>
        <w:rPr>
          <w:rFonts w:hint="eastAsia" w:ascii="宋体" w:hAnsi="宋体" w:cs="宋体"/>
          <w:sz w:val="24"/>
          <w:lang w:val="en-US" w:eastAsia="zh-CN"/>
        </w:rPr>
        <w:t>3.</w:t>
      </w:r>
      <w:r>
        <w:rPr>
          <w:rFonts w:hint="eastAsia" w:ascii="宋体" w:hAnsi="宋体" w:cs="宋体"/>
          <w:sz w:val="24"/>
        </w:rPr>
        <w:t>设计配合服务：设计人须从合同签订之日直至项目竣工验收完毕期间做好设计配合服务工作。</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（二）本工程设计阶段划分</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修建性详细规划、方案设计、初步设计、施工图设计配合及施工配合五个阶段的服务内容。</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1．修建性详细规划，建设条件分析及综合技术经济论证</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建筑、道路和绿地等的空间布局和景观规划设计，布置总平面图。对本项目中的建筑进行日照分析。根据交通影响分析，</w:t>
      </w:r>
      <w:r>
        <w:rPr>
          <w:rFonts w:ascii="宋体" w:hAnsi="宋体" w:cs="Leelawadee UI"/>
          <w:kern w:val="0"/>
          <w:sz w:val="24"/>
        </w:rPr>
        <w:t>提</w:t>
      </w:r>
      <w:r>
        <w:rPr>
          <w:rFonts w:hint="eastAsia" w:ascii="宋体" w:hAnsi="宋体" w:cs="宋体"/>
          <w:kern w:val="0"/>
          <w:sz w:val="24"/>
        </w:rPr>
        <w:t>出交通组织方案和设计。市政工程管线规划设计和管线综合。竖向规划设计。估算工程量和总造价，分析投资效益，并满足招标人、规划主管部门及《城市规划编制办法》中的要求。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2．方案设计阶段</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（1）与发包人及发包人聘用的顾问充分沟通，深入研究项目基础资料，协助发包人</w:t>
      </w:r>
      <w:r>
        <w:rPr>
          <w:rFonts w:ascii="宋体" w:hAnsi="宋体" w:cs="Leelawadee UI"/>
          <w:kern w:val="0"/>
          <w:sz w:val="24"/>
        </w:rPr>
        <w:t>提</w:t>
      </w:r>
      <w:r>
        <w:rPr>
          <w:rFonts w:hint="eastAsia" w:ascii="宋体" w:hAnsi="宋体" w:cs="宋体"/>
          <w:kern w:val="0"/>
          <w:sz w:val="24"/>
        </w:rPr>
        <w:t>出本项目的发展规划和市场潜力。</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（2）完成总体规划和方案设计，</w:t>
      </w:r>
      <w:r>
        <w:rPr>
          <w:rFonts w:ascii="宋体" w:hAnsi="宋体" w:cs="Leelawadee UI"/>
          <w:kern w:val="0"/>
          <w:sz w:val="24"/>
        </w:rPr>
        <w:t>提</w:t>
      </w:r>
      <w:r>
        <w:rPr>
          <w:rFonts w:hint="eastAsia" w:ascii="宋体" w:hAnsi="宋体" w:cs="宋体"/>
          <w:kern w:val="0"/>
          <w:sz w:val="24"/>
        </w:rPr>
        <w:t>供满足深度的方案设计图纸，并制作符合政府部门要求的规划意见书与设计方案报批文件，协助发包人进行报批工作。</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（3）根据政府部门的审批意见在本合同约定的范围内对设计方案进行修改和必要的调整，以通过政府部门审查批准。</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（4）负责进行人防、消防、交通、绿化及市政管网等方面的咨询工作。</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（5）负责完成人防、消防等规划方案，完成报批工作。</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（6）负责交通影响评价报告、水土保持方案、环境影响评价报告、建筑节能评估报告、绿色建筑设计方案等专项评估的编制及评审工作，以通过政府相关部门审查批准。</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3．初步设计阶段</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负责完成并制作建筑、人防、专项设计（深基坑专项设计、建筑智能化设计等）、结构、强电、智能化（含配合第三方智慧校园设计）、暖通、给排水、消防、室内外装饰装修、室外幕墙、风景园林、照明、室外管线综合等专业的初步设计文件及编制投资估算文件，设计内容和深度应满足政府相关规定。</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（2）制作报政府相关部门进行初步设计审查的设计图纸，配合发包人进行交通、园林、人防、消防、供电、市政、气象等各部门的报审工作，</w:t>
      </w:r>
      <w:r>
        <w:rPr>
          <w:rFonts w:ascii="宋体" w:hAnsi="宋体" w:cs="Leelawadee UI"/>
          <w:kern w:val="0"/>
          <w:sz w:val="24"/>
        </w:rPr>
        <w:t>提</w:t>
      </w:r>
      <w:r>
        <w:rPr>
          <w:rFonts w:hint="eastAsia" w:ascii="宋体" w:hAnsi="宋体" w:cs="宋体"/>
          <w:kern w:val="0"/>
          <w:sz w:val="24"/>
        </w:rPr>
        <w:t>供相关的工程用量参数，并负责有关解释和修改。</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3）编制初步设计概算，分解投资估算与初步设计概算同口径对比，开展初步设计阶段限额设计和优化投资结构。如初步设计概算需报发展改革部门审批，配合发包人申报初步设计概算，配合初步设计评审和初步设计概算审核。</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4.施工图设计阶段配合服务</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（1）根据发包人要求，组织各专业设计人员向施工图设计单位进行施工图设计前的交底工作，安排各专业设计人员与施工图设计单位的深入沟通，确保方案及初步设计意图的实现。</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（2）根据发包人要求，及时参加与设计有关的专题会，现场解决技术问题。</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5.施工配合阶段</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（1）配合服务</w:t>
      </w:r>
      <w:r>
        <w:rPr>
          <w:rFonts w:hint="eastAsia" w:ascii="宋体" w:hAnsi="宋体" w:cs="宋体"/>
          <w:kern w:val="0"/>
          <w:sz w:val="24"/>
          <w:lang w:eastAsia="zh-CN"/>
        </w:rPr>
        <w:t>，</w:t>
      </w:r>
      <w:r>
        <w:rPr>
          <w:rFonts w:hint="eastAsia" w:ascii="宋体" w:hAnsi="宋体" w:cs="宋体"/>
          <w:kern w:val="0"/>
          <w:sz w:val="24"/>
        </w:rPr>
        <w:t>设计人须从合同签订之日直至项目竣工验收完毕期间做好设计配合服务工作，工程开工后，设计人应积极配合施工现场服务,应按照工程进度要求设置设计工程师定期到现场指导、配合施工。</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（2）根据发包人要求，及时参加与设计、施工有关的专题会，现场解决技术问题。</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（3）协助发包人处理工程洽商和设计变更，负责有关设计修改，及时办理相关手续。</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（4）参与设计人相关的必要的验收以及项目竣工验收工作，并及时办理相关手续。</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（5）</w:t>
      </w:r>
      <w:r>
        <w:rPr>
          <w:rFonts w:ascii="宋体" w:hAnsi="宋体" w:cs="Leelawadee UI"/>
          <w:kern w:val="0"/>
          <w:sz w:val="24"/>
        </w:rPr>
        <w:t>提</w:t>
      </w:r>
      <w:r>
        <w:rPr>
          <w:rFonts w:hint="eastAsia" w:ascii="宋体" w:hAnsi="宋体" w:cs="宋体"/>
          <w:kern w:val="0"/>
          <w:sz w:val="24"/>
        </w:rPr>
        <w:t>供产品选型、设备加工订货、建筑材料选择以及分包商考察等技术咨询工作。</w:t>
      </w:r>
    </w:p>
    <w:p>
      <w:pPr>
        <w:widowControl/>
        <w:spacing w:line="360" w:lineRule="auto"/>
        <w:ind w:firstLine="480" w:firstLineChars="200"/>
        <w:jc w:val="left"/>
        <w:rPr>
          <w:rFonts w:ascii="宋体" w:hAnsi="宋体" w:cs="宋体"/>
          <w:kern w:val="0"/>
          <w:sz w:val="24"/>
        </w:rPr>
      </w:pPr>
      <w:commentRangeStart w:id="0"/>
      <w:r>
        <w:rPr>
          <w:rFonts w:hint="eastAsia" w:ascii="宋体" w:hAnsi="宋体" w:cs="宋体"/>
          <w:kern w:val="0"/>
          <w:sz w:val="24"/>
        </w:rPr>
        <w:t>（6）应发包人要求协助审核各分包商的设计文件是否满足接口条件并签署意见，以保证其与总体设计协调一致，并满足工程要求。</w:t>
      </w:r>
      <w:commentRangeEnd w:id="0"/>
      <w:r>
        <w:rPr>
          <w:rStyle w:val="63"/>
        </w:rPr>
        <w:commentReference w:id="0"/>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6.</w:t>
      </w:r>
      <w:r>
        <w:rPr>
          <w:rFonts w:hint="eastAsia" w:ascii="宋体" w:hAnsi="宋体" w:cs="宋体"/>
          <w:kern w:val="0"/>
          <w:sz w:val="24"/>
        </w:rPr>
        <w:t>特别</w:t>
      </w:r>
      <w:r>
        <w:rPr>
          <w:rFonts w:ascii="宋体" w:hAnsi="宋体" w:cs="Leelawadee UI"/>
          <w:kern w:val="0"/>
          <w:sz w:val="24"/>
        </w:rPr>
        <w:t>提</w:t>
      </w:r>
      <w:r>
        <w:rPr>
          <w:rFonts w:hint="eastAsia" w:ascii="宋体" w:hAnsi="宋体" w:cs="宋体"/>
          <w:kern w:val="0"/>
          <w:sz w:val="24"/>
        </w:rPr>
        <w:t>示：</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设计人若不具备相关专项资质的，可依法委托其他具备相应专业资质的且有类似专业设计或咨询业绩的公司完成，但需报经招标人备案。委托单位不具备相应能力的，招标人有权要求设计人无条件更换。设计人须对其成果负总责，所有费用已包含在合同价内。</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2）中标人需根据招标人要求，结合设计方案成果，制作符合招标人要求的方案展示模型（含渲染）和展示视频等设计方案衍生品，具体制作内容、时长等要求以招标人书面函件为准，所有费用均含在合同价中，招标人不再另行支付，中标人不得拒绝此项任务，否则招标人有权拒绝支付设计费。</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（3）中标单位须无偿整合、完善获得设计补偿费的投标人建筑设计方案。</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（4）方案设计过程中，可能存在多轮修改调整，中标人需无偿按招标人要求的时间节点完成修改直至满足招标人要求。</w:t>
      </w:r>
    </w:p>
    <w:p>
      <w:pPr>
        <w:widowControl/>
        <w:spacing w:line="360" w:lineRule="auto"/>
        <w:ind w:firstLine="482" w:firstLineChars="200"/>
        <w:jc w:val="left"/>
        <w:rPr>
          <w:rFonts w:ascii="宋体" w:hAnsi="宋体" w:cs="宋体"/>
          <w:kern w:val="0"/>
          <w:sz w:val="24"/>
        </w:rPr>
      </w:pPr>
      <w:r>
        <w:rPr>
          <w:rFonts w:hint="eastAsia" w:ascii="宋体" w:hAnsi="宋体" w:cs="宋体"/>
          <w:b/>
          <w:bCs/>
          <w:kern w:val="0"/>
          <w:sz w:val="24"/>
        </w:rPr>
        <w:t>三、设计总体要求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w:t>
      </w:r>
      <w:r>
        <w:rPr>
          <w:rFonts w:hint="eastAsia" w:ascii="宋体" w:hAnsi="宋体" w:cs="宋体"/>
          <w:kern w:val="0"/>
          <w:sz w:val="24"/>
          <w:lang w:val="en-US" w:eastAsia="zh-CN"/>
        </w:rPr>
        <w:t>一</w:t>
      </w:r>
      <w:r>
        <w:rPr>
          <w:rFonts w:hint="eastAsia" w:ascii="宋体" w:hAnsi="宋体" w:cs="宋体"/>
          <w:kern w:val="0"/>
          <w:sz w:val="24"/>
          <w:lang w:eastAsia="zh-CN"/>
        </w:rPr>
        <w:t>）</w:t>
      </w:r>
      <w:r>
        <w:rPr>
          <w:rFonts w:hint="eastAsia" w:ascii="宋体" w:hAnsi="宋体" w:cs="宋体"/>
          <w:kern w:val="0"/>
          <w:sz w:val="24"/>
        </w:rPr>
        <w:t>设计要求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设计必须以国家法律法规、淮南市城市规划管理技术规定、地方有关标准、规范以及控制性详细规划为依据，按招标文件、投标承诺、合同书内容和质量要求按时</w:t>
      </w:r>
      <w:r>
        <w:rPr>
          <w:rFonts w:ascii="宋体" w:hAnsi="宋体" w:cs="Leelawadee UI"/>
          <w:kern w:val="0"/>
          <w:sz w:val="24"/>
        </w:rPr>
        <w:t>提</w:t>
      </w:r>
      <w:r>
        <w:rPr>
          <w:rFonts w:hint="eastAsia" w:ascii="宋体" w:hAnsi="宋体" w:cs="宋体"/>
          <w:kern w:val="0"/>
          <w:sz w:val="24"/>
        </w:rPr>
        <w:t>交成果，并通过相关部门的审批。具体要求如下：</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1.</w:t>
      </w:r>
      <w:r>
        <w:rPr>
          <w:rFonts w:hint="eastAsia" w:ascii="宋体" w:hAnsi="宋体" w:cs="宋体"/>
          <w:kern w:val="0"/>
          <w:sz w:val="24"/>
        </w:rPr>
        <w:t>设计需符合规范要求，确保通过各项专项审查。</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2.</w:t>
      </w:r>
      <w:r>
        <w:rPr>
          <w:rFonts w:hint="eastAsia" w:ascii="宋体" w:hAnsi="宋体" w:cs="宋体"/>
          <w:kern w:val="0"/>
          <w:sz w:val="24"/>
        </w:rPr>
        <w:t>设计人自行设计的供电、供水等专业设计必须确保通过职能部门审查，投标人投标时应充分考虑费用标准，所有工作均由设计人独立完成，发包人不负责相关协调该部分工作，所发生费用均含在设计费用内。如设计人未按发包人要求的时间完成供电、供水设计及审查工作，或设计人设计成果不能满足发包人需求时，发包人有权将该部分设计工作另行委托专业设计单位进行设计，所发生的费用（按国家2002年勘察设计收费标准计算）从设计人设计费中直接扣除，由发包人直接支付。</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3.</w:t>
      </w:r>
      <w:r>
        <w:rPr>
          <w:rFonts w:hint="eastAsia" w:ascii="宋体" w:hAnsi="宋体" w:cs="宋体"/>
          <w:kern w:val="0"/>
          <w:sz w:val="24"/>
        </w:rPr>
        <w:t>本项目单体需按绿色建筑二星标准设计。在设计时应充分考虑，设计费不予调整。</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4.</w:t>
      </w:r>
      <w:r>
        <w:rPr>
          <w:rFonts w:hint="eastAsia" w:ascii="宋体" w:hAnsi="宋体" w:cs="宋体"/>
          <w:kern w:val="0"/>
          <w:sz w:val="24"/>
        </w:rPr>
        <w:t>设计人对设计深度和质量负责，发包人、政府部门或相关单位的审查并不减少设计人的责任。如因设计文件未获政府批准，设计人还应承担反复修改设计的责任与工作，招标人不再另行支付任何费用。</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w:t>
      </w:r>
      <w:r>
        <w:rPr>
          <w:rFonts w:hint="eastAsia" w:ascii="宋体" w:hAnsi="宋体" w:cs="宋体"/>
          <w:kern w:val="0"/>
          <w:sz w:val="24"/>
          <w:lang w:val="en-US" w:eastAsia="zh-CN"/>
        </w:rPr>
        <w:t>二</w:t>
      </w:r>
      <w:r>
        <w:rPr>
          <w:rFonts w:hint="eastAsia" w:ascii="宋体" w:hAnsi="宋体" w:cs="宋体"/>
          <w:kern w:val="0"/>
          <w:sz w:val="24"/>
          <w:lang w:eastAsia="zh-CN"/>
        </w:rPr>
        <w:t>）</w:t>
      </w:r>
      <w:r>
        <w:rPr>
          <w:rFonts w:hint="eastAsia" w:ascii="宋体" w:hAnsi="宋体" w:cs="宋体"/>
          <w:kern w:val="0"/>
          <w:sz w:val="24"/>
        </w:rPr>
        <w:t>设计人员要求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1.</w:t>
      </w:r>
      <w:r>
        <w:rPr>
          <w:rFonts w:hint="eastAsia" w:ascii="宋体" w:hAnsi="宋体" w:cs="宋体"/>
          <w:kern w:val="0"/>
          <w:sz w:val="24"/>
        </w:rPr>
        <w:t>设计项目负责人资格要求：拟委任项目负责人须具备一级注册建筑师资格。</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2.</w:t>
      </w:r>
      <w:r>
        <w:rPr>
          <w:rFonts w:hint="eastAsia" w:ascii="宋体" w:hAnsi="宋体" w:cs="宋体"/>
          <w:kern w:val="0"/>
          <w:sz w:val="24"/>
        </w:rPr>
        <w:t>勘察项目负责人资格要求：拟委任项目负责人具备国家注册土木工程师（岩土）执业资格证书。</w:t>
      </w:r>
    </w:p>
    <w:p>
      <w:pPr>
        <w:widowControl/>
        <w:spacing w:line="360" w:lineRule="auto"/>
        <w:ind w:firstLine="480" w:firstLineChars="200"/>
        <w:jc w:val="left"/>
        <w:rPr>
          <w:rFonts w:ascii="宋体" w:hAnsi="宋体" w:cs="宋体"/>
          <w:sz w:val="24"/>
        </w:rPr>
      </w:pPr>
      <w:r>
        <w:rPr>
          <w:rFonts w:hint="eastAsia" w:ascii="宋体" w:hAnsi="宋体" w:cs="宋体"/>
          <w:kern w:val="0"/>
          <w:sz w:val="24"/>
          <w:lang w:val="en-US" w:eastAsia="zh-CN"/>
        </w:rPr>
        <w:t>3.</w:t>
      </w:r>
      <w:r>
        <w:rPr>
          <w:rFonts w:hint="eastAsia" w:ascii="宋体" w:hAnsi="宋体" w:cs="宋体"/>
          <w:kern w:val="0"/>
          <w:sz w:val="24"/>
        </w:rPr>
        <w:t>项目其他主要人员最低要求</w:t>
      </w:r>
    </w:p>
    <w:tbl>
      <w:tblPr>
        <w:tblStyle w:val="5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9"/>
        <w:gridCol w:w="850"/>
        <w:gridCol w:w="53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268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b/>
                <w:kern w:val="0"/>
                <w:sz w:val="24"/>
              </w:rPr>
            </w:pPr>
            <w:r>
              <w:rPr>
                <w:rFonts w:hint="eastAsia" w:ascii="宋体" w:hAnsi="宋体" w:cs="宋体"/>
                <w:b/>
                <w:kern w:val="0"/>
                <w:sz w:val="24"/>
              </w:rPr>
              <w:t>人员岗位</w:t>
            </w:r>
          </w:p>
        </w:tc>
        <w:tc>
          <w:tcPr>
            <w:tcW w:w="85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b/>
                <w:kern w:val="0"/>
                <w:sz w:val="24"/>
              </w:rPr>
            </w:pPr>
            <w:r>
              <w:rPr>
                <w:rFonts w:hint="eastAsia" w:ascii="宋体" w:hAnsi="宋体" w:cs="宋体"/>
                <w:b/>
                <w:kern w:val="0"/>
                <w:sz w:val="24"/>
              </w:rPr>
              <w:t>数量</w:t>
            </w:r>
          </w:p>
        </w:tc>
        <w:tc>
          <w:tcPr>
            <w:tcW w:w="531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cs="宋体"/>
                <w:b/>
                <w:kern w:val="0"/>
                <w:sz w:val="24"/>
              </w:rPr>
            </w:pPr>
            <w:r>
              <w:rPr>
                <w:rFonts w:hint="eastAsia" w:ascii="宋体" w:hAnsi="宋体" w:cs="宋体"/>
                <w:b/>
                <w:kern w:val="0"/>
                <w:sz w:val="24"/>
              </w:rPr>
              <w:t>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268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sz w:val="24"/>
              </w:rPr>
              <w:t>建筑专业设计负责人</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1</w:t>
            </w:r>
          </w:p>
        </w:tc>
        <w:tc>
          <w:tcPr>
            <w:tcW w:w="531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r>
              <w:rPr>
                <w:rFonts w:hint="eastAsia" w:ascii="宋体" w:hAnsi="宋体"/>
                <w:sz w:val="24"/>
              </w:rPr>
              <w:t>一级注册建筑师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268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sz w:val="24"/>
              </w:rPr>
              <w:t>结构专业负责人</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1</w:t>
            </w:r>
          </w:p>
        </w:tc>
        <w:tc>
          <w:tcPr>
            <w:tcW w:w="531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r>
              <w:rPr>
                <w:rFonts w:hint="eastAsia" w:ascii="宋体" w:hAnsi="宋体"/>
                <w:sz w:val="24"/>
              </w:rPr>
              <w:t>一级注册结构师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268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sz w:val="24"/>
              </w:rPr>
              <w:t>勘察专业负责人</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ascii="宋体" w:hAnsi="宋体" w:cs="宋体"/>
                <w:sz w:val="24"/>
              </w:rPr>
              <w:t>1</w:t>
            </w:r>
          </w:p>
        </w:tc>
        <w:tc>
          <w:tcPr>
            <w:tcW w:w="5317"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r>
              <w:rPr>
                <w:rFonts w:hint="eastAsia" w:ascii="宋体" w:hAnsi="宋体"/>
                <w:sz w:val="24"/>
              </w:rPr>
              <w:t>注册土木工程师（岩土）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268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园林专业负责人</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1</w:t>
            </w:r>
          </w:p>
        </w:tc>
        <w:tc>
          <w:tcPr>
            <w:tcW w:w="5317"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268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造价专业负责人</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1</w:t>
            </w:r>
          </w:p>
        </w:tc>
        <w:tc>
          <w:tcPr>
            <w:tcW w:w="5317"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268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给排水专业设计负责人</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1</w:t>
            </w:r>
          </w:p>
        </w:tc>
        <w:tc>
          <w:tcPr>
            <w:tcW w:w="5317"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注册公用设备工程师(给排水)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268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电气专业设计负责人</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1</w:t>
            </w:r>
          </w:p>
        </w:tc>
        <w:tc>
          <w:tcPr>
            <w:tcW w:w="5317"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268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暖通专业设计负责人</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1</w:t>
            </w:r>
          </w:p>
        </w:tc>
        <w:tc>
          <w:tcPr>
            <w:tcW w:w="5317"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268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 w:val="24"/>
              </w:rPr>
            </w:pPr>
            <w:r>
              <w:rPr>
                <w:rFonts w:hint="eastAsia" w:ascii="宋体" w:hAnsi="宋体"/>
                <w:sz w:val="24"/>
              </w:rPr>
              <w:t>智能化专业设计负责人</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1</w:t>
            </w:r>
          </w:p>
        </w:tc>
        <w:tc>
          <w:tcPr>
            <w:tcW w:w="5317"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p>
        </w:tc>
      </w:tr>
    </w:tbl>
    <w:p>
      <w:pPr>
        <w:widowControl/>
        <w:spacing w:line="360" w:lineRule="auto"/>
        <w:ind w:firstLine="482" w:firstLineChars="200"/>
        <w:jc w:val="left"/>
        <w:rPr>
          <w:rFonts w:ascii="宋体" w:hAnsi="宋体" w:cs="宋体"/>
          <w:kern w:val="0"/>
          <w:sz w:val="24"/>
        </w:rPr>
      </w:pPr>
      <w:r>
        <w:rPr>
          <w:rFonts w:hint="eastAsia" w:ascii="宋体" w:hAnsi="宋体" w:cs="宋体"/>
          <w:b/>
          <w:bCs/>
          <w:kern w:val="0"/>
          <w:sz w:val="24"/>
        </w:rPr>
        <w:t>四、设计成果文件要求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各阶段成果要求设计方须根据招标人的需求</w:t>
      </w:r>
      <w:r>
        <w:rPr>
          <w:rFonts w:ascii="宋体" w:hAnsi="宋体" w:cs="Leelawadee UI"/>
          <w:kern w:val="0"/>
          <w:sz w:val="24"/>
        </w:rPr>
        <w:t>提</w:t>
      </w:r>
      <w:r>
        <w:rPr>
          <w:rFonts w:hint="eastAsia" w:ascii="宋体" w:hAnsi="宋体" w:cs="宋体"/>
          <w:kern w:val="0"/>
          <w:sz w:val="24"/>
        </w:rPr>
        <w:t>供设计成果，包括但不限于以下成果。</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（一）方案阶段</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1.</w:t>
      </w:r>
      <w:r>
        <w:rPr>
          <w:rFonts w:hint="eastAsia" w:ascii="宋体" w:hAnsi="宋体" w:cs="宋体"/>
          <w:kern w:val="0"/>
          <w:sz w:val="24"/>
        </w:rPr>
        <w:t>设计说明书</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2.</w:t>
      </w:r>
      <w:r>
        <w:rPr>
          <w:rFonts w:hint="eastAsia" w:ascii="宋体" w:hAnsi="宋体" w:cs="宋体"/>
          <w:kern w:val="0"/>
          <w:sz w:val="24"/>
        </w:rPr>
        <w:t>区位示意图</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3.</w:t>
      </w:r>
      <w:r>
        <w:rPr>
          <w:rFonts w:hint="eastAsia" w:ascii="宋体" w:hAnsi="宋体" w:cs="宋体"/>
          <w:kern w:val="0"/>
          <w:sz w:val="24"/>
        </w:rPr>
        <w:t>总平面图及单体建筑方案</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4.</w:t>
      </w:r>
      <w:r>
        <w:rPr>
          <w:rFonts w:hint="eastAsia" w:ascii="宋体" w:hAnsi="宋体" w:cs="宋体"/>
          <w:kern w:val="0"/>
          <w:sz w:val="24"/>
        </w:rPr>
        <w:t>鸟瞰及效果图</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5.</w:t>
      </w:r>
      <w:r>
        <w:rPr>
          <w:rFonts w:hint="eastAsia" w:ascii="宋体" w:hAnsi="宋体" w:cs="宋体"/>
          <w:kern w:val="0"/>
          <w:sz w:val="24"/>
        </w:rPr>
        <w:t>功能结果分析图</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6.</w:t>
      </w:r>
      <w:r>
        <w:rPr>
          <w:rFonts w:hint="eastAsia" w:ascii="宋体" w:hAnsi="宋体" w:cs="宋体"/>
          <w:kern w:val="0"/>
          <w:sz w:val="24"/>
        </w:rPr>
        <w:t>动态交通流线分析</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7.</w:t>
      </w:r>
      <w:r>
        <w:rPr>
          <w:rFonts w:hint="eastAsia" w:ascii="宋体" w:hAnsi="宋体" w:cs="宋体"/>
          <w:kern w:val="0"/>
          <w:sz w:val="24"/>
        </w:rPr>
        <w:t>景观设计图（含绿化）</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8.</w:t>
      </w:r>
      <w:r>
        <w:rPr>
          <w:rFonts w:hint="eastAsia" w:ascii="宋体" w:hAnsi="宋体" w:cs="宋体"/>
          <w:kern w:val="0"/>
          <w:sz w:val="24"/>
        </w:rPr>
        <w:t>建筑立面效果图</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9.</w:t>
      </w:r>
      <w:r>
        <w:rPr>
          <w:rFonts w:hint="eastAsia" w:ascii="宋体" w:hAnsi="宋体" w:cs="宋体"/>
          <w:kern w:val="0"/>
          <w:sz w:val="24"/>
        </w:rPr>
        <w:t>建筑剖面图</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10.</w:t>
      </w:r>
      <w:r>
        <w:rPr>
          <w:rFonts w:hint="eastAsia" w:ascii="宋体" w:hAnsi="宋体" w:cs="宋体"/>
          <w:kern w:val="0"/>
          <w:sz w:val="24"/>
        </w:rPr>
        <w:t>交通组织设计图</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11.</w:t>
      </w:r>
      <w:r>
        <w:rPr>
          <w:rFonts w:hint="eastAsia" w:ascii="宋体" w:hAnsi="宋体" w:cs="宋体"/>
          <w:kern w:val="0"/>
          <w:sz w:val="24"/>
        </w:rPr>
        <w:t>管线综合设计图</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12.</w:t>
      </w:r>
      <w:r>
        <w:rPr>
          <w:rFonts w:hint="eastAsia" w:ascii="宋体" w:hAnsi="宋体" w:cs="宋体"/>
          <w:kern w:val="0"/>
          <w:sz w:val="24"/>
        </w:rPr>
        <w:t>竖向设计图</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13.</w:t>
      </w:r>
      <w:r>
        <w:rPr>
          <w:rFonts w:hint="eastAsia" w:ascii="宋体" w:hAnsi="宋体" w:cs="宋体"/>
          <w:kern w:val="0"/>
          <w:sz w:val="24"/>
        </w:rPr>
        <w:t>内部空间景观意向引导图</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14.</w:t>
      </w:r>
      <w:r>
        <w:rPr>
          <w:rFonts w:hint="eastAsia" w:ascii="宋体" w:hAnsi="宋体" w:cs="宋体"/>
          <w:kern w:val="0"/>
          <w:sz w:val="24"/>
        </w:rPr>
        <w:t>建筑亮化效果图</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（二）初步设计阶段（如有）根据批准后的规划设计方案，按招标人需求，在合约时间内，按照设计总承包要求，完成全套初步设计文件和概算编制，并协助招标人按规定报政府主管部门批准。</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w:t>
      </w:r>
      <w:r>
        <w:rPr>
          <w:rFonts w:hint="eastAsia" w:ascii="宋体" w:hAnsi="宋体" w:cs="宋体"/>
          <w:kern w:val="0"/>
          <w:sz w:val="24"/>
          <w:lang w:val="en-US" w:eastAsia="zh-CN"/>
        </w:rPr>
        <w:t>三</w:t>
      </w:r>
      <w:r>
        <w:rPr>
          <w:rFonts w:hint="eastAsia" w:ascii="宋体" w:hAnsi="宋体" w:cs="宋体"/>
          <w:kern w:val="0"/>
          <w:sz w:val="24"/>
          <w:lang w:eastAsia="zh-CN"/>
        </w:rPr>
        <w:t>）</w:t>
      </w:r>
      <w:r>
        <w:rPr>
          <w:rFonts w:hint="eastAsia" w:ascii="宋体" w:hAnsi="宋体" w:cs="宋体"/>
          <w:kern w:val="0"/>
          <w:sz w:val="24"/>
        </w:rPr>
        <w:t>成果文件的深度</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按《建筑工程设计文件编制深度规定（2016版）》中对于建筑方案及初步设计要求，并将成果文件通过相关部门审批。包括但不限于本项目的项目方案设计、初步设计及项目概算编制（概算价格不得与预算价格偏差大于5</w:t>
      </w:r>
      <w:r>
        <w:rPr>
          <w:rFonts w:ascii="宋体" w:hAnsi="宋体" w:cs="宋体"/>
          <w:kern w:val="0"/>
          <w:sz w:val="24"/>
        </w:rPr>
        <w:t>%</w:t>
      </w:r>
      <w:r>
        <w:rPr>
          <w:rFonts w:hint="eastAsia" w:ascii="宋体" w:hAnsi="宋体" w:cs="宋体"/>
          <w:kern w:val="0"/>
          <w:sz w:val="24"/>
        </w:rPr>
        <w:t>）、满足施工图设计</w:t>
      </w:r>
      <w:commentRangeStart w:id="1"/>
      <w:r>
        <w:rPr>
          <w:rFonts w:hint="eastAsia" w:ascii="宋体" w:hAnsi="宋体" w:cs="宋体"/>
          <w:color w:val="FF0000"/>
          <w:kern w:val="0"/>
          <w:sz w:val="24"/>
        </w:rPr>
        <w:t>深度</w:t>
      </w:r>
      <w:commentRangeEnd w:id="1"/>
      <w:r>
        <w:rPr>
          <w:rStyle w:val="63"/>
        </w:rPr>
        <w:commentReference w:id="1"/>
      </w:r>
      <w:r>
        <w:rPr>
          <w:rFonts w:hint="eastAsia" w:ascii="宋体" w:hAnsi="宋体" w:cs="宋体"/>
          <w:kern w:val="0"/>
          <w:sz w:val="24"/>
        </w:rPr>
        <w:t>要求等后续的配合服务（协助造价咨询单位编制造价成果、技术指导等协助完成其他与工程前期设计相关的工作任务）、负责编制建设用地规划许可证及工程规划许可证时所需所有专项评估报告编制（包括但不限于交通影响评价报告、水土保持方案、环境影响评价报告、建筑节能评估报告、绿色建筑设计方案等）及评审工作。</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3.成果文件的格式要求中标人在设计过程中</w:t>
      </w:r>
      <w:r>
        <w:rPr>
          <w:rFonts w:ascii="宋体" w:hAnsi="宋体" w:cs="Leelawadee UI"/>
          <w:kern w:val="0"/>
          <w:sz w:val="24"/>
        </w:rPr>
        <w:t>提</w:t>
      </w:r>
      <w:r>
        <w:rPr>
          <w:rFonts w:hint="eastAsia" w:ascii="宋体" w:hAnsi="宋体" w:cs="宋体"/>
          <w:kern w:val="0"/>
          <w:sz w:val="24"/>
        </w:rPr>
        <w:t>交的设计文件应包括文本、图件及计算机文件。</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计算机文件应包含所有成果文件，由Photoshop、PowerPoint、Word、AutoCAD、SketchUp、B</w:t>
      </w:r>
      <w:r>
        <w:rPr>
          <w:rFonts w:ascii="宋体" w:hAnsi="宋体" w:cs="宋体"/>
          <w:kern w:val="0"/>
          <w:sz w:val="24"/>
        </w:rPr>
        <w:t>IM</w:t>
      </w:r>
      <w:r>
        <w:rPr>
          <w:rFonts w:hint="eastAsia" w:ascii="宋体" w:hAnsi="宋体" w:cs="宋体"/>
          <w:kern w:val="0"/>
          <w:sz w:val="24"/>
        </w:rPr>
        <w:t>等软件制作,</w:t>
      </w:r>
      <w:r>
        <w:rPr>
          <w:rFonts w:ascii="宋体" w:hAnsi="宋体" w:cs="Leelawadee UI"/>
          <w:kern w:val="0"/>
          <w:sz w:val="24"/>
        </w:rPr>
        <w:t>提</w:t>
      </w:r>
      <w:r>
        <w:rPr>
          <w:rFonts w:hint="eastAsia" w:ascii="宋体" w:hAnsi="宋体" w:cs="宋体"/>
          <w:kern w:val="0"/>
          <w:sz w:val="24"/>
        </w:rPr>
        <w:t>供备份光盘1份。招标人有权无偿使用设计成果。（具体</w:t>
      </w:r>
      <w:r>
        <w:rPr>
          <w:rFonts w:ascii="宋体" w:hAnsi="宋体" w:cs="Leelawadee UI"/>
          <w:kern w:val="0"/>
          <w:sz w:val="24"/>
        </w:rPr>
        <w:t>提</w:t>
      </w:r>
      <w:r>
        <w:rPr>
          <w:rFonts w:hint="eastAsia" w:ascii="宋体" w:hAnsi="宋体" w:cs="宋体"/>
          <w:kern w:val="0"/>
          <w:sz w:val="24"/>
        </w:rPr>
        <w:t>交成果及数量以招标人实际要求为准）。</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w:t>
      </w:r>
      <w:r>
        <w:rPr>
          <w:rFonts w:hint="eastAsia" w:ascii="宋体" w:hAnsi="宋体" w:cs="宋体"/>
          <w:kern w:val="0"/>
          <w:sz w:val="24"/>
          <w:lang w:val="en-US" w:eastAsia="zh-CN"/>
        </w:rPr>
        <w:t>四</w:t>
      </w:r>
      <w:r>
        <w:rPr>
          <w:rFonts w:hint="eastAsia" w:ascii="宋体" w:hAnsi="宋体" w:cs="宋体"/>
          <w:kern w:val="0"/>
          <w:sz w:val="24"/>
          <w:lang w:eastAsia="zh-CN"/>
        </w:rPr>
        <w:t>）</w:t>
      </w:r>
      <w:r>
        <w:rPr>
          <w:rFonts w:hint="eastAsia" w:ascii="宋体" w:hAnsi="宋体" w:cs="宋体"/>
          <w:kern w:val="0"/>
          <w:sz w:val="24"/>
        </w:rPr>
        <w:t>成果文件的份数要求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1.</w:t>
      </w:r>
      <w:r>
        <w:rPr>
          <w:rFonts w:hint="eastAsia" w:ascii="宋体" w:hAnsi="宋体" w:cs="宋体"/>
          <w:kern w:val="0"/>
          <w:sz w:val="24"/>
        </w:rPr>
        <w:t>过程成果文件需满足上会要求，每轮不少于10套（统一规格为A3：297×420mm），电子扫</w:t>
      </w:r>
      <w:r>
        <w:rPr>
          <w:rFonts w:ascii="宋体" w:hAnsi="宋体" w:cs="Leelawadee UI"/>
          <w:kern w:val="0"/>
          <w:sz w:val="24"/>
        </w:rPr>
        <w:t>描</w:t>
      </w:r>
      <w:r>
        <w:rPr>
          <w:rFonts w:hint="eastAsia" w:ascii="宋体" w:hAnsi="宋体" w:cs="宋体"/>
          <w:kern w:val="0"/>
          <w:sz w:val="24"/>
        </w:rPr>
        <w:t>件1份。</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2.</w:t>
      </w:r>
      <w:r>
        <w:rPr>
          <w:rFonts w:hint="eastAsia" w:ascii="宋体" w:hAnsi="宋体" w:cs="宋体"/>
          <w:kern w:val="0"/>
          <w:sz w:val="24"/>
        </w:rPr>
        <w:t>方案、初步设计（含概算）最终成果不少于16套（统一规格为A3：297×420mm），电子扫</w:t>
      </w:r>
      <w:r>
        <w:rPr>
          <w:rFonts w:ascii="宋体" w:hAnsi="宋体" w:cs="Leelawadee UI"/>
          <w:kern w:val="0"/>
          <w:sz w:val="24"/>
        </w:rPr>
        <w:t>描</w:t>
      </w:r>
      <w:r>
        <w:rPr>
          <w:rFonts w:hint="eastAsia" w:ascii="宋体" w:hAnsi="宋体" w:cs="宋体"/>
          <w:kern w:val="0"/>
          <w:sz w:val="24"/>
        </w:rPr>
        <w:t>件1份。</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3.</w:t>
      </w:r>
      <w:r>
        <w:rPr>
          <w:rFonts w:hint="eastAsia" w:ascii="宋体" w:hAnsi="宋体" w:cs="宋体"/>
          <w:kern w:val="0"/>
          <w:sz w:val="24"/>
        </w:rPr>
        <w:t>地质勘探成果不少于10份，电子文件1份。</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4.</w:t>
      </w:r>
      <w:r>
        <w:rPr>
          <w:rFonts w:hint="eastAsia" w:ascii="宋体" w:hAnsi="宋体" w:cs="宋体"/>
          <w:kern w:val="0"/>
          <w:sz w:val="24"/>
        </w:rPr>
        <w:t>包含上述要求图件内容及简明必要的文字说明的彩色汇报展示图板1套（不少于5张）。规格统一为A0，比例、内容及深度需符合上述具体要求，并应装裱在相应尺寸的轻质图板上。</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5.</w:t>
      </w:r>
      <w:r>
        <w:rPr>
          <w:rFonts w:hint="eastAsia" w:ascii="宋体" w:hAnsi="宋体" w:cs="宋体"/>
          <w:kern w:val="0"/>
          <w:sz w:val="24"/>
        </w:rPr>
        <w:t>汇报展示用PPT格式文件1份、项目效果图等若干。</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6.</w:t>
      </w:r>
      <w:r>
        <w:rPr>
          <w:rFonts w:hint="eastAsia" w:ascii="宋体" w:hAnsi="宋体" w:cs="宋体"/>
          <w:kern w:val="0"/>
          <w:sz w:val="24"/>
        </w:rPr>
        <w:t>交通影响评价报告、水土保持方案、环境影响评价报告、建筑节能评估报告、绿色建筑设计等前款要求各类咨询报告及评价结果满足招标人报批及存档数量要求。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7.</w:t>
      </w:r>
      <w:r>
        <w:rPr>
          <w:rFonts w:hint="eastAsia" w:ascii="宋体" w:hAnsi="宋体" w:cs="宋体"/>
          <w:kern w:val="0"/>
          <w:sz w:val="24"/>
        </w:rPr>
        <w:t>如遇主管部门要求或其他因素致使增加成果数量的，中标人需无偿</w:t>
      </w:r>
      <w:r>
        <w:rPr>
          <w:rFonts w:ascii="宋体" w:hAnsi="宋体" w:cs="Leelawadee UI"/>
          <w:kern w:val="0"/>
          <w:sz w:val="24"/>
        </w:rPr>
        <w:t>提</w:t>
      </w:r>
      <w:r>
        <w:rPr>
          <w:rFonts w:hint="eastAsia" w:ascii="宋体" w:hAnsi="宋体" w:cs="宋体"/>
          <w:kern w:val="0"/>
          <w:sz w:val="24"/>
        </w:rPr>
        <w:t>供。</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8.</w:t>
      </w:r>
      <w:r>
        <w:rPr>
          <w:rFonts w:hint="eastAsia" w:ascii="宋体" w:hAnsi="宋体" w:cs="宋体"/>
          <w:kern w:val="0"/>
          <w:sz w:val="24"/>
        </w:rPr>
        <w:t>其他未尽事宜按国家有关方案设计深度的规定</w:t>
      </w:r>
      <w:r>
        <w:rPr>
          <w:rFonts w:ascii="宋体" w:hAnsi="宋体" w:cs="Leelawadee UI"/>
          <w:kern w:val="0"/>
          <w:sz w:val="24"/>
        </w:rPr>
        <w:t>提</w:t>
      </w:r>
      <w:r>
        <w:rPr>
          <w:rFonts w:hint="eastAsia" w:ascii="宋体" w:hAnsi="宋体" w:cs="宋体"/>
          <w:kern w:val="0"/>
          <w:sz w:val="24"/>
        </w:rPr>
        <w:t>供。</w:t>
      </w:r>
    </w:p>
    <w:p>
      <w:pPr>
        <w:widowControl/>
        <w:spacing w:line="360" w:lineRule="auto"/>
        <w:ind w:firstLine="482" w:firstLineChars="200"/>
        <w:jc w:val="left"/>
        <w:rPr>
          <w:rFonts w:ascii="宋体" w:hAnsi="宋体" w:cs="宋体"/>
          <w:kern w:val="0"/>
          <w:sz w:val="24"/>
        </w:rPr>
      </w:pPr>
      <w:r>
        <w:rPr>
          <w:rFonts w:hint="eastAsia" w:ascii="宋体" w:hAnsi="宋体" w:cs="宋体"/>
          <w:b/>
          <w:bCs/>
          <w:kern w:val="0"/>
          <w:sz w:val="24"/>
        </w:rPr>
        <w:t>五、工程勘察工作要求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（一）本工程勘察范围</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负责对安徽城市管理职业学院新桥校区项目进行地形测绘、土方测算、初步勘察及详细勘察，对建筑地基做出岩土工程评价，并对地基类型、基础形式、地基处理、基坑支护、地基降水和不良地质作用的防治等</w:t>
      </w:r>
      <w:r>
        <w:rPr>
          <w:rFonts w:ascii="宋体" w:hAnsi="宋体" w:cs="Leelawadee UI"/>
          <w:kern w:val="0"/>
          <w:sz w:val="24"/>
        </w:rPr>
        <w:t>提</w:t>
      </w:r>
      <w:r>
        <w:rPr>
          <w:rFonts w:hint="eastAsia" w:ascii="宋体" w:hAnsi="宋体" w:cs="宋体"/>
          <w:kern w:val="0"/>
          <w:sz w:val="24"/>
        </w:rPr>
        <w:t>出建议，</w:t>
      </w:r>
      <w:r>
        <w:rPr>
          <w:rFonts w:ascii="宋体" w:hAnsi="宋体" w:cs="Leelawadee UI"/>
          <w:kern w:val="0"/>
          <w:sz w:val="24"/>
        </w:rPr>
        <w:t>提</w:t>
      </w:r>
      <w:r>
        <w:rPr>
          <w:rFonts w:hint="eastAsia" w:ascii="宋体" w:hAnsi="宋体" w:cs="宋体"/>
          <w:kern w:val="0"/>
          <w:sz w:val="24"/>
        </w:rPr>
        <w:t>交工程勘察报告等资料。勘察主要工作内容包括但不限于制订勘察纲要、测绘、勘探、取样、试验、测试、检测、分析、评估、与设计单位、施工单位的配合、后续服务等内容。土方测绘主要内容：地形测绘（10×10）、周边道路标高、土方测算等。初步勘察应符合初步设计的要求，详细勘察应符合施工图设计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根据招标人下达的服务任务书，负责本项目地形测绘、土方测算、勘察、地下障碍物及管线探测及相关技术咨询工作，包括但不限于工程范围及有关要求中所涉及的工作内容的地形测绘、土方测算、初步勘察、详细勘察（按照设计单位</w:t>
      </w:r>
      <w:r>
        <w:rPr>
          <w:rFonts w:ascii="宋体" w:hAnsi="宋体" w:cs="Leelawadee UI"/>
          <w:kern w:val="0"/>
          <w:sz w:val="24"/>
        </w:rPr>
        <w:t>提</w:t>
      </w:r>
      <w:r>
        <w:rPr>
          <w:rFonts w:hint="eastAsia" w:ascii="宋体" w:hAnsi="宋体" w:cs="宋体"/>
          <w:kern w:val="0"/>
          <w:sz w:val="24"/>
        </w:rPr>
        <w:t>出的勘察要求进行）、勘察报告等为完成本项目的勘察工作所需要完成的全部工作。</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（二）勘察要求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初步勘察应符合初步设计的要求，全面查明选定场址的工程地质条件，对场地内各建筑地段的稳定性和工程地质问题作出定量评价，并为确定建筑工程的形式、规模、主要建筑地基基础工程施工方案及对不良地质现象的防治工程</w:t>
      </w:r>
      <w:r>
        <w:rPr>
          <w:rFonts w:ascii="宋体" w:hAnsi="宋体" w:cs="Leelawadee UI"/>
          <w:kern w:val="0"/>
          <w:sz w:val="24"/>
        </w:rPr>
        <w:t>提</w:t>
      </w:r>
      <w:r>
        <w:rPr>
          <w:rFonts w:hint="eastAsia" w:ascii="宋体" w:hAnsi="宋体" w:cs="宋体"/>
          <w:kern w:val="0"/>
          <w:sz w:val="24"/>
        </w:rPr>
        <w:t>供足够的工程地质数据资料。包括但不限于：</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1.</w:t>
      </w:r>
      <w:r>
        <w:rPr>
          <w:rFonts w:hint="eastAsia" w:ascii="宋体" w:hAnsi="宋体" w:cs="宋体"/>
          <w:kern w:val="0"/>
          <w:sz w:val="24"/>
        </w:rPr>
        <w:t>初步查明场址地层岩性、构造、岩土的物理力学性质、水文地质条件。</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2.</w:t>
      </w:r>
      <w:r>
        <w:rPr>
          <w:rFonts w:hint="eastAsia" w:ascii="宋体" w:hAnsi="宋体" w:cs="宋体"/>
          <w:kern w:val="0"/>
          <w:sz w:val="24"/>
        </w:rPr>
        <w:t>查明场地不良地质现象的成因类型、分布范围、对场地稳定性的影响程度及其发展趋势。</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3.</w:t>
      </w:r>
      <w:r>
        <w:rPr>
          <w:rFonts w:hint="eastAsia" w:ascii="宋体" w:hAnsi="宋体" w:cs="宋体"/>
          <w:kern w:val="0"/>
          <w:sz w:val="24"/>
        </w:rPr>
        <w:t>对设计地震裂度为七级及其以上的建筑物，应判定场地和地基的地震效应。</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详细勘察应符合施工图设计要求，补充初勘工作中的不足之处，使每个建筑物下的地基条件完全明确，以便为地基基础设计、地基处理与加固、不良地质现象的防治工程，</w:t>
      </w:r>
      <w:r>
        <w:rPr>
          <w:rFonts w:ascii="宋体" w:hAnsi="宋体" w:cs="Leelawadee UI"/>
          <w:kern w:val="0"/>
          <w:sz w:val="24"/>
        </w:rPr>
        <w:t>提</w:t>
      </w:r>
      <w:r>
        <w:rPr>
          <w:rFonts w:hint="eastAsia" w:ascii="宋体" w:hAnsi="宋体" w:cs="宋体"/>
          <w:kern w:val="0"/>
          <w:sz w:val="24"/>
        </w:rPr>
        <w:t>供设计数据和资料，即对具体建筑物地基或具体地质问题进行钻探，为施工图设计和施工</w:t>
      </w:r>
      <w:r>
        <w:rPr>
          <w:rFonts w:ascii="宋体" w:hAnsi="宋体" w:cs="Leelawadee UI"/>
          <w:kern w:val="0"/>
          <w:sz w:val="24"/>
        </w:rPr>
        <w:t>提</w:t>
      </w:r>
      <w:r>
        <w:rPr>
          <w:rFonts w:hint="eastAsia" w:ascii="宋体" w:hAnsi="宋体" w:cs="宋体"/>
          <w:kern w:val="0"/>
          <w:sz w:val="24"/>
        </w:rPr>
        <w:t>供工程地质资料。包括但不限于：</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1.</w:t>
      </w:r>
      <w:r>
        <w:rPr>
          <w:rFonts w:hint="eastAsia" w:ascii="宋体" w:hAnsi="宋体" w:cs="宋体"/>
          <w:kern w:val="0"/>
          <w:sz w:val="24"/>
        </w:rPr>
        <w:t>查明场地内的地层结构、岩土的物理力学性质，并对地基的稳定性、压缩性及容许承载力作出评价。</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2.</w:t>
      </w:r>
      <w:r>
        <w:rPr>
          <w:rFonts w:hint="eastAsia" w:ascii="宋体" w:hAnsi="宋体" w:cs="宋体"/>
          <w:kern w:val="0"/>
          <w:sz w:val="24"/>
        </w:rPr>
        <w:t>查明地下水类型、埋藏条件和侵蚀性，必要时还需查明地层的渗透性、水位变化幅度及其规律。</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3.</w:t>
      </w:r>
      <w:r>
        <w:rPr>
          <w:rFonts w:ascii="宋体" w:hAnsi="宋体" w:cs="Leelawadee UI"/>
          <w:kern w:val="0"/>
          <w:sz w:val="24"/>
        </w:rPr>
        <w:t>提</w:t>
      </w:r>
      <w:r>
        <w:rPr>
          <w:rFonts w:hint="eastAsia" w:ascii="宋体" w:hAnsi="宋体" w:cs="宋体"/>
          <w:kern w:val="0"/>
          <w:sz w:val="24"/>
        </w:rPr>
        <w:t>供不良地质现象的整、防治工程所需资料和数据。</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val="en-US" w:eastAsia="zh-CN"/>
        </w:rPr>
        <w:t>4.</w:t>
      </w:r>
      <w:r>
        <w:rPr>
          <w:rFonts w:hint="eastAsia" w:ascii="宋体" w:hAnsi="宋体" w:cs="宋体"/>
          <w:kern w:val="0"/>
          <w:sz w:val="24"/>
        </w:rPr>
        <w:t>判定和查明地基岩土和地下水在建筑物施工和使用中可能产生的变化和影响及其防治所需的资料。</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（三）勘察报告要求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1.中标人</w:t>
      </w:r>
      <w:r>
        <w:rPr>
          <w:rFonts w:ascii="宋体" w:hAnsi="宋体" w:cs="Leelawadee UI"/>
          <w:kern w:val="0"/>
          <w:sz w:val="24"/>
        </w:rPr>
        <w:t>提</w:t>
      </w:r>
      <w:r>
        <w:rPr>
          <w:rFonts w:hint="eastAsia" w:ascii="宋体" w:hAnsi="宋体" w:cs="宋体"/>
          <w:kern w:val="0"/>
          <w:sz w:val="24"/>
        </w:rPr>
        <w:t>交的地质勘察报告，勘察工作应符合“岩土工程勘察规范”等相关规定，同时须满足设计院的设计要求。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2.对建筑物范围内的地质构造、地层结构及其均匀性，以及各岩土层的物理力学性质和工程特性做出评价。</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3.有无影响建筑场地稳定性的不良地质作用，场地不良地质作用的成因、分布、规模、发展趋势，有无暗浜、暗塘、墓穴等，并对其危害程度、建筑场地稳定性做出评价，</w:t>
      </w:r>
      <w:r>
        <w:rPr>
          <w:rFonts w:ascii="宋体" w:hAnsi="宋体" w:cs="Leelawadee UI"/>
          <w:kern w:val="0"/>
          <w:sz w:val="24"/>
        </w:rPr>
        <w:t>提</w:t>
      </w:r>
      <w:r>
        <w:rPr>
          <w:rFonts w:hint="eastAsia" w:ascii="宋体" w:hAnsi="宋体" w:cs="宋体"/>
          <w:kern w:val="0"/>
          <w:sz w:val="24"/>
        </w:rPr>
        <w:t>出预防措施的建议。</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4.地下水埋藏情况、类型和水位幅度和规律，以及地下水和土对建筑材料的腐蚀性，设计抗渗水位及抗浮水位，</w:t>
      </w:r>
      <w:r>
        <w:rPr>
          <w:rFonts w:ascii="宋体" w:hAnsi="宋体" w:cs="Leelawadee UI"/>
          <w:kern w:val="0"/>
          <w:sz w:val="24"/>
        </w:rPr>
        <w:t>提</w:t>
      </w:r>
      <w:r>
        <w:rPr>
          <w:rFonts w:hint="eastAsia" w:ascii="宋体" w:hAnsi="宋体" w:cs="宋体"/>
          <w:kern w:val="0"/>
          <w:sz w:val="24"/>
        </w:rPr>
        <w:t>出施工降水方法的建议和有关技术参数。</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5.</w:t>
      </w:r>
      <w:r>
        <w:rPr>
          <w:rFonts w:ascii="宋体" w:hAnsi="宋体" w:cs="Leelawadee UI"/>
          <w:kern w:val="0"/>
          <w:sz w:val="24"/>
        </w:rPr>
        <w:t>提</w:t>
      </w:r>
      <w:r>
        <w:rPr>
          <w:rFonts w:hint="eastAsia" w:ascii="宋体" w:hAnsi="宋体" w:cs="宋体"/>
          <w:kern w:val="0"/>
          <w:sz w:val="24"/>
        </w:rPr>
        <w:t>供抗震设防烈度、分组及有关技术参数，场地土类型和场地类别，并对饱和砂土和粉土进行液化判别，对场地和地基的地震效应、场地地震安全性做出初步评价。</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6.场地土的标准冻结深度。</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7.对可供采用的地基基础设计方案进行论证分析，建议适当的基础形式和基础持力层，并</w:t>
      </w:r>
      <w:r>
        <w:rPr>
          <w:rFonts w:ascii="宋体" w:hAnsi="宋体" w:cs="Leelawadee UI"/>
          <w:kern w:val="0"/>
          <w:sz w:val="24"/>
        </w:rPr>
        <w:t>提</w:t>
      </w:r>
      <w:r>
        <w:rPr>
          <w:rFonts w:hint="eastAsia" w:ascii="宋体" w:hAnsi="宋体" w:cs="宋体"/>
          <w:kern w:val="0"/>
          <w:sz w:val="24"/>
        </w:rPr>
        <w:t>出经济合理的地基和基础设计方案和建议。</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8.拟采用桩基方案时成桩的可能性分析，施工对周围环境影响分析和评价。</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9.</w:t>
      </w:r>
      <w:r>
        <w:rPr>
          <w:rFonts w:ascii="宋体" w:hAnsi="宋体" w:cs="Leelawadee UI"/>
          <w:kern w:val="0"/>
          <w:sz w:val="24"/>
        </w:rPr>
        <w:t>提</w:t>
      </w:r>
      <w:r>
        <w:rPr>
          <w:rFonts w:hint="eastAsia" w:ascii="宋体" w:hAnsi="宋体" w:cs="宋体"/>
          <w:kern w:val="0"/>
          <w:sz w:val="24"/>
        </w:rPr>
        <w:t>供与设计要求相对应的地基承载力特征值及变形计算参数，预估基础沉降量，估算的期望差和总基础和桩沉降值，并对设计与施工应注意的问题</w:t>
      </w:r>
      <w:r>
        <w:rPr>
          <w:rFonts w:ascii="宋体" w:hAnsi="宋体" w:cs="Leelawadee UI"/>
          <w:kern w:val="0"/>
          <w:sz w:val="24"/>
        </w:rPr>
        <w:t>提</w:t>
      </w:r>
      <w:r>
        <w:rPr>
          <w:rFonts w:hint="eastAsia" w:ascii="宋体" w:hAnsi="宋体" w:cs="宋体"/>
          <w:kern w:val="0"/>
          <w:sz w:val="24"/>
        </w:rPr>
        <w:t>出建议。</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10.深基坑开挖的边坡稳定计算、支护设计及施工降水所需的岩土技术参数，论证其对周围已有建筑物和地下设施的影响。</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（四）勘察报告主要内容（包括但不限于以下内容）</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1.拟建场地的工程地质条件</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（1）地质条件背景资料。</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（2）地形地貌条件。</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（3）拟建场区地层土质概述。</w:t>
      </w:r>
    </w:p>
    <w:p>
      <w:pPr>
        <w:widowControl/>
        <w:spacing w:line="360" w:lineRule="auto"/>
        <w:ind w:firstLine="482" w:firstLineChars="200"/>
        <w:jc w:val="left"/>
        <w:rPr>
          <w:rFonts w:ascii="宋体" w:hAnsi="宋体" w:cs="宋体"/>
          <w:b/>
          <w:bCs/>
          <w:kern w:val="0"/>
          <w:sz w:val="24"/>
        </w:rPr>
      </w:pPr>
      <w:r>
        <w:rPr>
          <w:rFonts w:hint="eastAsia" w:ascii="宋体" w:hAnsi="宋体" w:cs="宋体"/>
          <w:b/>
          <w:bCs/>
          <w:kern w:val="0"/>
          <w:sz w:val="24"/>
        </w:rPr>
        <w:t>2.拟建场地的水文地质条件</w:t>
      </w:r>
      <w:r>
        <w:rPr>
          <w:rFonts w:ascii="宋体" w:hAnsi="宋体" w:cs="宋体"/>
          <w:b/>
          <w:bCs/>
          <w:kern w:val="0"/>
          <w:sz w:val="24"/>
        </w:rPr>
        <w:t>(</w:t>
      </w:r>
      <w:r>
        <w:rPr>
          <w:rFonts w:hint="eastAsia" w:ascii="宋体" w:hAnsi="宋体" w:cs="宋体"/>
          <w:b/>
          <w:bCs/>
          <w:kern w:val="0"/>
          <w:sz w:val="24"/>
        </w:rPr>
        <w:t>场地南侧有河道，场地中间有防洪灌溉渠</w:t>
      </w:r>
      <w:r>
        <w:rPr>
          <w:rFonts w:ascii="宋体" w:hAnsi="宋体" w:cs="宋体"/>
          <w:b/>
          <w:bCs/>
          <w:kern w:val="0"/>
          <w:sz w:val="24"/>
        </w:rPr>
        <w:t>)</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（1）地下水类型及地下水位。</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（2）历年高水位记录及设防水位分析。</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（3）关于确定建筑防渗设计水位和抗浮设计水位的基本依据和建议。</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（4）地下水和浅层土对混凝土和钢筋的腐蚀性评价。</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3.场地、地基的建筑抗震设计条件</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（1）场地土类型与建筑场地类别的判定。</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（2）进行场地与地基的地震效应评价。</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（3）地基土层地震液化评价。</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4.地基基础方案分析评价及相关建议。</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5.地下室开挖和支护方案评价与相关建议。</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6.降水对周围环境的影响。</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7.桩基工程设计与施工建议。</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8.与工程设计、施工有关的地下水控制的建议。</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9.其他合理化建议。</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10.上述方案及建议的计算图表（计算书）及方案草图。</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11.附件内容</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（1）土的物理学性质综合统计表。</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（2）各类工程平面图件和地层剖面图及柱状图。</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（3）土工试验说明及试验成果。</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（4）标贯与动力触探原位测试成果图。</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（5）剪切波速测试结果。</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（6）桩基桩端持力层层顶标高等高线。</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（7）基坑支护计算参数。</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（8）钻探工作说明等。</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12.后期服务</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（1）包括但不限于抗浮计算、验槽与勘察技术咨询等服务。</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（2）参与施工中与勘察、设计有关的技术工作，及时解决设计和施工中与勘察工作有关问题。按时配合各级、各层次的竣工验收工作。</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（3）对于勘察报告、地质水文数据和图纸等招标人认为有必要的资料，投标人应组织招标人进行相应培训，使招标人能够掌握勘察报告、地质水文数据和图纸等资料的作用和含义。</w:t>
      </w:r>
    </w:p>
    <w:p>
      <w:pPr>
        <w:spacing w:line="360" w:lineRule="auto"/>
        <w:ind w:firstLine="480" w:firstLineChars="200"/>
        <w:rPr>
          <w:rFonts w:ascii="宋体" w:hAnsi="宋体" w:cs="宋体"/>
          <w:sz w:val="24"/>
        </w:rPr>
      </w:pPr>
      <w:r>
        <w:rPr>
          <w:rFonts w:hint="eastAsia" w:ascii="宋体" w:hAnsi="宋体" w:cs="宋体"/>
          <w:kern w:val="0"/>
          <w:sz w:val="24"/>
        </w:rPr>
        <w:t>（4）成果文件的份数不少于16份且</w:t>
      </w:r>
      <w:r>
        <w:rPr>
          <w:rFonts w:ascii="宋体" w:hAnsi="宋体" w:cs="Leelawadee UI"/>
          <w:kern w:val="0"/>
          <w:sz w:val="24"/>
        </w:rPr>
        <w:t>提</w:t>
      </w:r>
      <w:r>
        <w:rPr>
          <w:rFonts w:hint="eastAsia" w:ascii="宋体" w:hAnsi="宋体" w:cs="宋体"/>
          <w:kern w:val="0"/>
          <w:sz w:val="24"/>
        </w:rPr>
        <w:t>供电子版（CAD版）。</w:t>
      </w:r>
    </w:p>
    <w:p>
      <w:pPr>
        <w:spacing w:line="360" w:lineRule="auto"/>
        <w:ind w:firstLine="482" w:firstLineChars="200"/>
        <w:rPr>
          <w:rFonts w:ascii="宋体" w:hAnsi="宋体" w:cs="宋体"/>
          <w:sz w:val="24"/>
        </w:rPr>
      </w:pPr>
      <w:r>
        <w:rPr>
          <w:rFonts w:hint="eastAsia" w:ascii="宋体" w:hAnsi="宋体"/>
          <w:b/>
          <w:bCs/>
          <w:sz w:val="24"/>
        </w:rPr>
        <w:t>六、勘察设计周期要求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lang w:eastAsia="zh-CN"/>
        </w:rPr>
        <w:t>（</w:t>
      </w:r>
      <w:r>
        <w:rPr>
          <w:rFonts w:hint="eastAsia" w:ascii="宋体" w:hAnsi="宋体" w:cs="宋体"/>
          <w:kern w:val="0"/>
          <w:sz w:val="24"/>
          <w:lang w:val="en-US" w:eastAsia="zh-CN"/>
        </w:rPr>
        <w:t>一</w:t>
      </w:r>
      <w:r>
        <w:rPr>
          <w:rFonts w:hint="eastAsia" w:ascii="宋体" w:hAnsi="宋体" w:cs="宋体"/>
          <w:kern w:val="0"/>
          <w:sz w:val="24"/>
          <w:lang w:eastAsia="zh-CN"/>
        </w:rPr>
        <w:t>）</w:t>
      </w:r>
      <w:r>
        <w:rPr>
          <w:rFonts w:hint="eastAsia" w:ascii="宋体" w:hAnsi="宋体" w:cs="宋体"/>
          <w:kern w:val="0"/>
          <w:sz w:val="24"/>
        </w:rPr>
        <w:t>勘察设计进度表</w:t>
      </w:r>
    </w:p>
    <w:p>
      <w:pPr>
        <w:spacing w:line="360" w:lineRule="auto"/>
        <w:ind w:firstLine="480" w:firstLineChars="200"/>
        <w:rPr>
          <w:rFonts w:ascii="宋体" w:hAnsi="宋体" w:cs="宋体"/>
          <w:kern w:val="0"/>
          <w:sz w:val="24"/>
        </w:rPr>
      </w:pPr>
      <w:r>
        <w:rPr>
          <w:rFonts w:hint="eastAsia" w:ascii="宋体" w:hAnsi="宋体" w:cs="宋体"/>
          <w:kern w:val="0"/>
          <w:sz w:val="24"/>
        </w:rPr>
        <w:t>设计人应向发包人交付的设计资料及文件进度表</w:t>
      </w:r>
    </w:p>
    <w:tbl>
      <w:tblPr>
        <w:tblStyle w:val="5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13"/>
        <w:gridCol w:w="2709"/>
        <w:gridCol w:w="1215"/>
        <w:gridCol w:w="2306"/>
        <w:gridCol w:w="23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3" w:type="dxa"/>
            <w:shd w:val="clear" w:color="auto" w:fill="auto"/>
            <w:vAlign w:val="center"/>
          </w:tcPr>
          <w:p>
            <w:pPr>
              <w:jc w:val="center"/>
              <w:rPr>
                <w:rFonts w:ascii="宋体" w:hAnsi="宋体" w:cs="宋体"/>
                <w:sz w:val="24"/>
              </w:rPr>
            </w:pPr>
            <w:r>
              <w:rPr>
                <w:rFonts w:hint="eastAsia" w:ascii="宋体" w:hAnsi="宋体"/>
                <w:b/>
                <w:bCs/>
                <w:sz w:val="24"/>
              </w:rPr>
              <w:t>序号</w:t>
            </w:r>
          </w:p>
        </w:tc>
        <w:tc>
          <w:tcPr>
            <w:tcW w:w="2709" w:type="dxa"/>
            <w:shd w:val="clear" w:color="auto" w:fill="auto"/>
            <w:vAlign w:val="center"/>
          </w:tcPr>
          <w:p>
            <w:pPr>
              <w:jc w:val="center"/>
              <w:rPr>
                <w:rFonts w:ascii="宋体" w:hAnsi="宋体" w:cs="宋体"/>
                <w:sz w:val="24"/>
              </w:rPr>
            </w:pPr>
            <w:r>
              <w:rPr>
                <w:rFonts w:hint="eastAsia" w:ascii="宋体" w:hAnsi="宋体"/>
                <w:b/>
                <w:bCs/>
                <w:sz w:val="24"/>
              </w:rPr>
              <w:t>资料及文件名称</w:t>
            </w:r>
          </w:p>
        </w:tc>
        <w:tc>
          <w:tcPr>
            <w:tcW w:w="1215" w:type="dxa"/>
            <w:shd w:val="clear" w:color="auto" w:fill="auto"/>
            <w:vAlign w:val="center"/>
          </w:tcPr>
          <w:p>
            <w:pPr>
              <w:jc w:val="center"/>
              <w:rPr>
                <w:rFonts w:ascii="宋体" w:hAnsi="宋体" w:cs="宋体"/>
                <w:sz w:val="24"/>
              </w:rPr>
            </w:pPr>
            <w:r>
              <w:rPr>
                <w:rFonts w:hint="eastAsia" w:ascii="宋体" w:hAnsi="宋体"/>
                <w:b/>
                <w:bCs/>
                <w:sz w:val="24"/>
              </w:rPr>
              <w:t>份数/项</w:t>
            </w:r>
          </w:p>
        </w:tc>
        <w:tc>
          <w:tcPr>
            <w:tcW w:w="2306" w:type="dxa"/>
            <w:shd w:val="clear" w:color="auto" w:fill="auto"/>
            <w:vAlign w:val="center"/>
          </w:tcPr>
          <w:p>
            <w:pPr>
              <w:jc w:val="center"/>
              <w:rPr>
                <w:rFonts w:ascii="宋体" w:hAnsi="宋体" w:cs="宋体"/>
                <w:sz w:val="24"/>
              </w:rPr>
            </w:pPr>
            <w:r>
              <w:rPr>
                <w:rFonts w:ascii="宋体" w:hAnsi="宋体" w:cs="Leelawadee UI"/>
                <w:b/>
                <w:bCs/>
                <w:sz w:val="24"/>
              </w:rPr>
              <w:t>提</w:t>
            </w:r>
            <w:r>
              <w:rPr>
                <w:rFonts w:hint="eastAsia" w:ascii="宋体" w:hAnsi="宋体"/>
                <w:b/>
                <w:bCs/>
                <w:sz w:val="24"/>
              </w:rPr>
              <w:t>交时限</w:t>
            </w:r>
          </w:p>
        </w:tc>
        <w:tc>
          <w:tcPr>
            <w:tcW w:w="2360" w:type="dxa"/>
            <w:shd w:val="clear" w:color="auto" w:fill="auto"/>
            <w:vAlign w:val="center"/>
          </w:tcPr>
          <w:p>
            <w:pPr>
              <w:jc w:val="center"/>
              <w:rPr>
                <w:rFonts w:ascii="宋体" w:hAnsi="宋体" w:cs="宋体"/>
                <w:sz w:val="24"/>
              </w:rPr>
            </w:pPr>
            <w:r>
              <w:rPr>
                <w:rFonts w:hint="eastAsia" w:ascii="宋体" w:hAnsi="宋体"/>
                <w:b/>
                <w:bCs/>
                <w:sz w:val="24"/>
              </w:rPr>
              <w:t>有关事宜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3" w:type="dxa"/>
            <w:shd w:val="clear" w:color="auto" w:fill="auto"/>
            <w:vAlign w:val="center"/>
          </w:tcPr>
          <w:p>
            <w:pPr>
              <w:jc w:val="center"/>
              <w:rPr>
                <w:rFonts w:ascii="宋体" w:hAnsi="宋体" w:cs="宋体"/>
                <w:sz w:val="24"/>
              </w:rPr>
            </w:pPr>
            <w:r>
              <w:rPr>
                <w:rFonts w:hint="eastAsia" w:ascii="宋体" w:hAnsi="宋体" w:cs="宋体"/>
                <w:sz w:val="24"/>
              </w:rPr>
              <w:t>1</w:t>
            </w:r>
          </w:p>
        </w:tc>
        <w:tc>
          <w:tcPr>
            <w:tcW w:w="2709" w:type="dxa"/>
            <w:shd w:val="clear" w:color="auto" w:fill="auto"/>
            <w:vAlign w:val="center"/>
          </w:tcPr>
          <w:p>
            <w:pPr>
              <w:widowControl/>
              <w:jc w:val="left"/>
              <w:rPr>
                <w:rFonts w:ascii="宋体" w:hAnsi="宋体" w:cs="宋体"/>
                <w:kern w:val="0"/>
                <w:sz w:val="24"/>
              </w:rPr>
            </w:pPr>
            <w:r>
              <w:rPr>
                <w:rFonts w:hint="eastAsia" w:ascii="宋体" w:hAnsi="宋体" w:cs="宋体"/>
                <w:kern w:val="0"/>
                <w:sz w:val="24"/>
              </w:rPr>
              <w:t>修建性详细规划和建筑方案设计文件、投资估算文件</w:t>
            </w:r>
          </w:p>
        </w:tc>
        <w:tc>
          <w:tcPr>
            <w:tcW w:w="1215" w:type="dxa"/>
            <w:shd w:val="clear" w:color="auto" w:fill="auto"/>
            <w:vAlign w:val="center"/>
          </w:tcPr>
          <w:p>
            <w:pPr>
              <w:jc w:val="center"/>
              <w:rPr>
                <w:rFonts w:ascii="宋体" w:hAnsi="宋体" w:cs="宋体"/>
                <w:sz w:val="24"/>
              </w:rPr>
            </w:pPr>
          </w:p>
        </w:tc>
        <w:tc>
          <w:tcPr>
            <w:tcW w:w="2306" w:type="dxa"/>
            <w:shd w:val="clear" w:color="auto" w:fill="auto"/>
            <w:vAlign w:val="center"/>
          </w:tcPr>
          <w:p>
            <w:pPr>
              <w:widowControl/>
              <w:jc w:val="left"/>
              <w:rPr>
                <w:rFonts w:ascii="宋体" w:hAnsi="宋体" w:cs="宋体"/>
                <w:sz w:val="24"/>
              </w:rPr>
            </w:pPr>
            <w:r>
              <w:rPr>
                <w:rFonts w:hint="eastAsia" w:ascii="宋体" w:hAnsi="宋体" w:cs="宋体"/>
                <w:kern w:val="0"/>
                <w:sz w:val="24"/>
              </w:rPr>
              <w:t>在设计合同生效后20日内提交</w:t>
            </w:r>
          </w:p>
        </w:tc>
        <w:tc>
          <w:tcPr>
            <w:tcW w:w="2360" w:type="dxa"/>
            <w:shd w:val="clear" w:color="auto" w:fill="auto"/>
            <w:vAlign w:val="center"/>
          </w:tcPr>
          <w:p>
            <w:pPr>
              <w:widowControl/>
              <w:jc w:val="left"/>
              <w:rPr>
                <w:rFonts w:hint="eastAsia" w:ascii="宋体" w:hAnsi="宋体" w:cs="宋体"/>
                <w:kern w:val="0"/>
                <w:sz w:val="24"/>
              </w:rPr>
            </w:pPr>
            <w:r>
              <w:rPr>
                <w:rFonts w:hint="eastAsia" w:ascii="宋体" w:hAnsi="宋体" w:cs="宋体"/>
                <w:kern w:val="0"/>
                <w:sz w:val="24"/>
              </w:rPr>
              <w:t>深度达到相关的方案审批要求，符合</w:t>
            </w:r>
          </w:p>
          <w:p>
            <w:pPr>
              <w:widowControl/>
              <w:jc w:val="left"/>
              <w:rPr>
                <w:rFonts w:hint="eastAsia" w:ascii="宋体" w:hAnsi="宋体" w:cs="宋体"/>
                <w:kern w:val="0"/>
                <w:sz w:val="24"/>
              </w:rPr>
            </w:pPr>
            <w:r>
              <w:rPr>
                <w:rFonts w:hint="eastAsia" w:ascii="宋体" w:hAnsi="宋体" w:cs="宋体"/>
                <w:kern w:val="0"/>
                <w:sz w:val="24"/>
              </w:rPr>
              <w:t>国家相关规范要求，供本工程方案审批用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3" w:type="dxa"/>
            <w:shd w:val="clear" w:color="auto" w:fill="auto"/>
            <w:vAlign w:val="center"/>
          </w:tcPr>
          <w:p>
            <w:pPr>
              <w:jc w:val="center"/>
              <w:rPr>
                <w:rFonts w:ascii="宋体" w:hAnsi="宋体" w:cs="宋体"/>
                <w:sz w:val="24"/>
              </w:rPr>
            </w:pPr>
            <w:r>
              <w:rPr>
                <w:rFonts w:hint="eastAsia" w:ascii="宋体" w:hAnsi="宋体" w:cs="宋体"/>
                <w:sz w:val="24"/>
              </w:rPr>
              <w:t>2</w:t>
            </w:r>
          </w:p>
        </w:tc>
        <w:tc>
          <w:tcPr>
            <w:tcW w:w="2709" w:type="dxa"/>
            <w:shd w:val="clear" w:color="auto" w:fill="auto"/>
            <w:vAlign w:val="center"/>
          </w:tcPr>
          <w:p>
            <w:pPr>
              <w:jc w:val="left"/>
              <w:rPr>
                <w:rFonts w:ascii="宋体" w:hAnsi="宋体" w:cs="宋体"/>
                <w:sz w:val="24"/>
              </w:rPr>
            </w:pPr>
            <w:r>
              <w:rPr>
                <w:rFonts w:hint="eastAsia" w:ascii="宋体" w:hAnsi="宋体"/>
                <w:sz w:val="24"/>
              </w:rPr>
              <w:t>方案调整设计文件</w:t>
            </w:r>
          </w:p>
        </w:tc>
        <w:tc>
          <w:tcPr>
            <w:tcW w:w="1215" w:type="dxa"/>
            <w:shd w:val="clear" w:color="auto" w:fill="auto"/>
            <w:vAlign w:val="center"/>
          </w:tcPr>
          <w:p>
            <w:pPr>
              <w:jc w:val="center"/>
              <w:rPr>
                <w:rFonts w:ascii="宋体" w:hAnsi="宋体" w:cs="宋体"/>
                <w:sz w:val="24"/>
              </w:rPr>
            </w:pPr>
          </w:p>
        </w:tc>
        <w:tc>
          <w:tcPr>
            <w:tcW w:w="2306" w:type="dxa"/>
            <w:shd w:val="clear" w:color="auto" w:fill="auto"/>
            <w:vAlign w:val="center"/>
          </w:tcPr>
          <w:p>
            <w:pPr>
              <w:widowControl/>
              <w:jc w:val="left"/>
              <w:rPr>
                <w:rFonts w:ascii="宋体" w:hAnsi="宋体" w:cs="宋体"/>
                <w:kern w:val="0"/>
                <w:sz w:val="24"/>
              </w:rPr>
            </w:pPr>
            <w:r>
              <w:rPr>
                <w:rFonts w:hint="eastAsia" w:ascii="宋体" w:hAnsi="宋体" w:cs="宋体"/>
                <w:kern w:val="0"/>
                <w:sz w:val="24"/>
              </w:rPr>
              <w:t>在收到专家评审意见后10日内提交</w:t>
            </w:r>
          </w:p>
        </w:tc>
        <w:tc>
          <w:tcPr>
            <w:tcW w:w="2360" w:type="dxa"/>
            <w:shd w:val="clear" w:color="auto" w:fill="auto"/>
            <w:vAlign w:val="center"/>
          </w:tcPr>
          <w:p>
            <w:pPr>
              <w:widowControl/>
              <w:jc w:val="left"/>
              <w:rPr>
                <w:rFonts w:hint="eastAsia" w:ascii="宋体" w:hAnsi="宋体" w:cs="宋体"/>
                <w:kern w:val="0"/>
                <w:sz w:val="24"/>
              </w:rPr>
            </w:pPr>
            <w:r>
              <w:rPr>
                <w:rFonts w:hint="eastAsia" w:ascii="宋体" w:hAnsi="宋体" w:cs="宋体"/>
                <w:kern w:val="0"/>
                <w:sz w:val="24"/>
              </w:rPr>
              <w:t>1.根据专家评审意</w:t>
            </w:r>
            <w:r>
              <w:rPr>
                <w:rFonts w:hint="eastAsia" w:ascii="宋体" w:hAnsi="宋体" w:cs="宋体"/>
                <w:kern w:val="0"/>
                <w:sz w:val="24"/>
                <w:lang w:val="en-US" w:eastAsia="zh-CN"/>
              </w:rPr>
              <w:t>见</w:t>
            </w:r>
            <w:r>
              <w:rPr>
                <w:rFonts w:hint="eastAsia" w:ascii="宋体" w:hAnsi="宋体" w:cs="宋体"/>
                <w:kern w:val="0"/>
                <w:sz w:val="24"/>
              </w:rPr>
              <w:t>的要求进行方案设计</w:t>
            </w:r>
          </w:p>
          <w:p>
            <w:pPr>
              <w:widowControl/>
              <w:jc w:val="left"/>
              <w:rPr>
                <w:rFonts w:hint="eastAsia" w:ascii="宋体" w:hAnsi="宋体" w:cs="宋体"/>
                <w:kern w:val="0"/>
                <w:sz w:val="24"/>
              </w:rPr>
            </w:pPr>
            <w:r>
              <w:rPr>
                <w:rFonts w:hint="eastAsia" w:ascii="宋体" w:hAnsi="宋体" w:cs="宋体"/>
                <w:kern w:val="0"/>
                <w:sz w:val="24"/>
              </w:rPr>
              <w:t>2.提交调整方案供发包人决策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3" w:type="dxa"/>
            <w:shd w:val="clear" w:color="auto" w:fill="auto"/>
            <w:vAlign w:val="center"/>
          </w:tcPr>
          <w:p>
            <w:pPr>
              <w:jc w:val="center"/>
              <w:rPr>
                <w:rFonts w:ascii="宋体" w:hAnsi="宋体" w:cs="宋体"/>
                <w:sz w:val="24"/>
              </w:rPr>
            </w:pPr>
            <w:r>
              <w:rPr>
                <w:rFonts w:hint="eastAsia" w:ascii="宋体" w:hAnsi="宋体" w:cs="宋体"/>
                <w:sz w:val="24"/>
              </w:rPr>
              <w:t>3</w:t>
            </w:r>
          </w:p>
        </w:tc>
        <w:tc>
          <w:tcPr>
            <w:tcW w:w="2709" w:type="dxa"/>
            <w:shd w:val="clear" w:color="auto" w:fill="auto"/>
            <w:vAlign w:val="center"/>
          </w:tcPr>
          <w:p>
            <w:pPr>
              <w:jc w:val="left"/>
              <w:rPr>
                <w:rFonts w:ascii="宋体" w:hAnsi="宋体" w:cs="宋体"/>
                <w:sz w:val="24"/>
              </w:rPr>
            </w:pPr>
            <w:r>
              <w:rPr>
                <w:rFonts w:hint="eastAsia" w:ascii="宋体" w:hAnsi="宋体"/>
                <w:sz w:val="24"/>
              </w:rPr>
              <w:t>初步勘察</w:t>
            </w:r>
          </w:p>
        </w:tc>
        <w:tc>
          <w:tcPr>
            <w:tcW w:w="1215" w:type="dxa"/>
            <w:shd w:val="clear" w:color="auto" w:fill="auto"/>
            <w:vAlign w:val="center"/>
          </w:tcPr>
          <w:p>
            <w:pPr>
              <w:jc w:val="center"/>
              <w:rPr>
                <w:rFonts w:ascii="宋体" w:hAnsi="宋体" w:cs="宋体"/>
                <w:sz w:val="24"/>
              </w:rPr>
            </w:pPr>
          </w:p>
        </w:tc>
        <w:tc>
          <w:tcPr>
            <w:tcW w:w="2306" w:type="dxa"/>
            <w:shd w:val="clear" w:color="auto" w:fill="auto"/>
            <w:vAlign w:val="center"/>
          </w:tcPr>
          <w:p>
            <w:pPr>
              <w:widowControl/>
              <w:jc w:val="left"/>
              <w:rPr>
                <w:rFonts w:ascii="宋体" w:hAnsi="宋体" w:cs="宋体"/>
                <w:kern w:val="0"/>
                <w:sz w:val="24"/>
              </w:rPr>
            </w:pPr>
            <w:r>
              <w:rPr>
                <w:rFonts w:hint="eastAsia" w:ascii="宋体" w:hAnsi="宋体" w:cs="宋体"/>
                <w:kern w:val="0"/>
                <w:sz w:val="24"/>
              </w:rPr>
              <w:t>收到方案审批意见后10日内提交</w:t>
            </w:r>
          </w:p>
        </w:tc>
        <w:tc>
          <w:tcPr>
            <w:tcW w:w="2360" w:type="dxa"/>
            <w:shd w:val="clear" w:color="auto" w:fill="auto"/>
            <w:vAlign w:val="center"/>
          </w:tcPr>
          <w:p>
            <w:pPr>
              <w:jc w:val="left"/>
              <w:rPr>
                <w:rFonts w:ascii="宋体" w:hAnsi="宋体" w:cs="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3" w:type="dxa"/>
            <w:shd w:val="clear" w:color="auto" w:fill="auto"/>
            <w:vAlign w:val="center"/>
          </w:tcPr>
          <w:p>
            <w:pPr>
              <w:jc w:val="center"/>
              <w:rPr>
                <w:rFonts w:ascii="宋体" w:hAnsi="宋体" w:cs="宋体"/>
                <w:sz w:val="24"/>
              </w:rPr>
            </w:pPr>
            <w:r>
              <w:rPr>
                <w:rFonts w:hint="eastAsia" w:ascii="宋体" w:hAnsi="宋体" w:cs="宋体"/>
                <w:sz w:val="24"/>
              </w:rPr>
              <w:t>4</w:t>
            </w:r>
          </w:p>
        </w:tc>
        <w:tc>
          <w:tcPr>
            <w:tcW w:w="2709" w:type="dxa"/>
            <w:shd w:val="clear" w:color="auto" w:fill="auto"/>
            <w:vAlign w:val="center"/>
          </w:tcPr>
          <w:p>
            <w:pPr>
              <w:widowControl/>
              <w:jc w:val="left"/>
              <w:rPr>
                <w:rFonts w:ascii="宋体" w:hAnsi="宋体" w:cs="宋体"/>
                <w:kern w:val="0"/>
                <w:sz w:val="24"/>
              </w:rPr>
            </w:pPr>
            <w:r>
              <w:rPr>
                <w:rFonts w:hint="eastAsia" w:ascii="宋体" w:hAnsi="宋体" w:cs="宋体"/>
                <w:kern w:val="0"/>
                <w:sz w:val="24"/>
              </w:rPr>
              <w:t>1.初步设计文件</w:t>
            </w:r>
          </w:p>
          <w:p>
            <w:pPr>
              <w:widowControl/>
              <w:jc w:val="left"/>
              <w:rPr>
                <w:rFonts w:ascii="宋体" w:hAnsi="宋体" w:cs="宋体"/>
                <w:kern w:val="0"/>
                <w:sz w:val="24"/>
              </w:rPr>
            </w:pPr>
            <w:r>
              <w:rPr>
                <w:rFonts w:hint="eastAsia" w:ascii="宋体" w:hAnsi="宋体" w:cs="宋体"/>
                <w:kern w:val="0"/>
                <w:sz w:val="24"/>
              </w:rPr>
              <w:t>2.设计概算编制（含初步设计概算16套）及与投资估算对比分析</w:t>
            </w:r>
          </w:p>
        </w:tc>
        <w:tc>
          <w:tcPr>
            <w:tcW w:w="1215" w:type="dxa"/>
            <w:shd w:val="clear" w:color="auto" w:fill="auto"/>
            <w:vAlign w:val="center"/>
          </w:tcPr>
          <w:p>
            <w:pPr>
              <w:jc w:val="center"/>
              <w:rPr>
                <w:rFonts w:ascii="宋体" w:hAnsi="宋体" w:cs="宋体"/>
                <w:sz w:val="24"/>
              </w:rPr>
            </w:pPr>
          </w:p>
        </w:tc>
        <w:tc>
          <w:tcPr>
            <w:tcW w:w="2306" w:type="dxa"/>
            <w:shd w:val="clear" w:color="auto" w:fill="auto"/>
            <w:vAlign w:val="center"/>
          </w:tcPr>
          <w:p>
            <w:pPr>
              <w:widowControl/>
              <w:jc w:val="left"/>
              <w:rPr>
                <w:rFonts w:ascii="宋体" w:hAnsi="宋体" w:cs="宋体"/>
                <w:kern w:val="0"/>
                <w:sz w:val="24"/>
              </w:rPr>
            </w:pPr>
            <w:r>
              <w:rPr>
                <w:rFonts w:hint="eastAsia" w:ascii="宋体" w:hAnsi="宋体" w:cs="宋体"/>
                <w:kern w:val="0"/>
                <w:sz w:val="24"/>
              </w:rPr>
              <w:t>收到方案审批意见后30日内提交</w:t>
            </w:r>
          </w:p>
        </w:tc>
        <w:tc>
          <w:tcPr>
            <w:tcW w:w="2360" w:type="dxa"/>
            <w:shd w:val="clear" w:color="auto" w:fill="auto"/>
            <w:vAlign w:val="center"/>
          </w:tcPr>
          <w:p>
            <w:pPr>
              <w:widowControl/>
              <w:jc w:val="left"/>
              <w:rPr>
                <w:rFonts w:hint="eastAsia" w:ascii="宋体" w:hAnsi="宋体" w:cs="宋体"/>
                <w:kern w:val="0"/>
                <w:sz w:val="24"/>
              </w:rPr>
            </w:pPr>
            <w:r>
              <w:rPr>
                <w:rFonts w:hint="eastAsia" w:ascii="宋体" w:hAnsi="宋体" w:cs="宋体"/>
                <w:kern w:val="0"/>
                <w:sz w:val="24"/>
              </w:rPr>
              <w:t>根据当地有关主管部门及发包人的具体要求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3" w:type="dxa"/>
            <w:shd w:val="clear" w:color="auto" w:fill="auto"/>
            <w:vAlign w:val="center"/>
          </w:tcPr>
          <w:p>
            <w:pPr>
              <w:jc w:val="center"/>
              <w:rPr>
                <w:rFonts w:ascii="宋体" w:hAnsi="宋体" w:cs="宋体"/>
                <w:sz w:val="24"/>
              </w:rPr>
            </w:pPr>
            <w:r>
              <w:rPr>
                <w:rFonts w:hint="eastAsia" w:ascii="宋体" w:hAnsi="宋体" w:cs="宋体"/>
                <w:sz w:val="24"/>
              </w:rPr>
              <w:t>5</w:t>
            </w:r>
          </w:p>
        </w:tc>
        <w:tc>
          <w:tcPr>
            <w:tcW w:w="2709" w:type="dxa"/>
            <w:shd w:val="clear" w:color="auto" w:fill="auto"/>
            <w:vAlign w:val="center"/>
          </w:tcPr>
          <w:p>
            <w:pPr>
              <w:jc w:val="left"/>
              <w:rPr>
                <w:rFonts w:ascii="宋体" w:hAnsi="宋体"/>
                <w:sz w:val="24"/>
              </w:rPr>
            </w:pPr>
            <w:r>
              <w:rPr>
                <w:rFonts w:hint="eastAsia" w:ascii="宋体" w:hAnsi="宋体"/>
                <w:sz w:val="24"/>
              </w:rPr>
              <w:t>详细勘察</w:t>
            </w:r>
          </w:p>
        </w:tc>
        <w:tc>
          <w:tcPr>
            <w:tcW w:w="1215" w:type="dxa"/>
            <w:shd w:val="clear" w:color="auto" w:fill="auto"/>
            <w:vAlign w:val="center"/>
          </w:tcPr>
          <w:p>
            <w:pPr>
              <w:jc w:val="center"/>
              <w:rPr>
                <w:rFonts w:ascii="宋体" w:hAnsi="宋体" w:cs="宋体"/>
                <w:sz w:val="24"/>
              </w:rPr>
            </w:pPr>
          </w:p>
        </w:tc>
        <w:tc>
          <w:tcPr>
            <w:tcW w:w="2306" w:type="dxa"/>
            <w:shd w:val="clear" w:color="auto" w:fill="auto"/>
            <w:vAlign w:val="center"/>
          </w:tcPr>
          <w:p>
            <w:pPr>
              <w:widowControl/>
              <w:jc w:val="left"/>
              <w:rPr>
                <w:rFonts w:hint="eastAsia" w:ascii="宋体" w:hAnsi="宋体" w:cs="宋体"/>
                <w:kern w:val="0"/>
                <w:sz w:val="24"/>
              </w:rPr>
            </w:pPr>
            <w:r>
              <w:rPr>
                <w:rFonts w:hint="eastAsia" w:ascii="宋体" w:hAnsi="宋体" w:cs="宋体"/>
                <w:kern w:val="0"/>
                <w:sz w:val="24"/>
              </w:rPr>
              <w:t>收到初步设计审批意见后20日内提交</w:t>
            </w:r>
          </w:p>
        </w:tc>
        <w:tc>
          <w:tcPr>
            <w:tcW w:w="2360" w:type="dxa"/>
            <w:shd w:val="clear" w:color="auto" w:fill="auto"/>
            <w:vAlign w:val="center"/>
          </w:tcPr>
          <w:p>
            <w:pPr>
              <w:widowControl/>
              <w:jc w:val="left"/>
              <w:rPr>
                <w:rFonts w:hint="eastAsia" w:ascii="宋体" w:hAnsi="宋体" w:cs="宋体"/>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3" w:type="dxa"/>
            <w:shd w:val="clear" w:color="auto" w:fill="auto"/>
            <w:vAlign w:val="center"/>
          </w:tcPr>
          <w:p>
            <w:pPr>
              <w:jc w:val="center"/>
              <w:rPr>
                <w:rFonts w:ascii="宋体" w:hAnsi="宋体" w:cs="宋体"/>
                <w:sz w:val="24"/>
              </w:rPr>
            </w:pPr>
            <w:r>
              <w:rPr>
                <w:rFonts w:hint="eastAsia" w:ascii="宋体" w:hAnsi="宋体" w:cs="宋体"/>
                <w:sz w:val="24"/>
              </w:rPr>
              <w:t>6</w:t>
            </w:r>
          </w:p>
        </w:tc>
        <w:tc>
          <w:tcPr>
            <w:tcW w:w="2709" w:type="dxa"/>
            <w:shd w:val="clear" w:color="auto" w:fill="auto"/>
            <w:vAlign w:val="center"/>
          </w:tcPr>
          <w:p>
            <w:pPr>
              <w:jc w:val="left"/>
              <w:rPr>
                <w:rFonts w:ascii="宋体" w:hAnsi="宋体"/>
                <w:sz w:val="24"/>
              </w:rPr>
            </w:pPr>
            <w:r>
              <w:rPr>
                <w:rFonts w:hint="eastAsia" w:ascii="宋体" w:hAnsi="宋体"/>
                <w:sz w:val="24"/>
              </w:rPr>
              <w:t>总体沙盘制作安装</w:t>
            </w:r>
          </w:p>
        </w:tc>
        <w:tc>
          <w:tcPr>
            <w:tcW w:w="1215" w:type="dxa"/>
            <w:shd w:val="clear" w:color="auto" w:fill="auto"/>
            <w:vAlign w:val="center"/>
          </w:tcPr>
          <w:p>
            <w:pPr>
              <w:jc w:val="center"/>
              <w:rPr>
                <w:rFonts w:ascii="宋体" w:hAnsi="宋体" w:cs="宋体"/>
                <w:sz w:val="24"/>
              </w:rPr>
            </w:pPr>
          </w:p>
        </w:tc>
        <w:tc>
          <w:tcPr>
            <w:tcW w:w="2306" w:type="dxa"/>
            <w:shd w:val="clear" w:color="auto" w:fill="auto"/>
            <w:vAlign w:val="center"/>
          </w:tcPr>
          <w:p>
            <w:pPr>
              <w:widowControl/>
              <w:jc w:val="left"/>
              <w:rPr>
                <w:rFonts w:hint="eastAsia" w:ascii="宋体" w:hAnsi="宋体" w:cs="宋体"/>
                <w:kern w:val="0"/>
                <w:sz w:val="24"/>
              </w:rPr>
            </w:pPr>
            <w:r>
              <w:rPr>
                <w:rFonts w:hint="eastAsia" w:ascii="宋体" w:hAnsi="宋体" w:cs="宋体"/>
                <w:kern w:val="0"/>
                <w:sz w:val="24"/>
              </w:rPr>
              <w:t>在初步方案批复生效后20日内提交</w:t>
            </w:r>
          </w:p>
        </w:tc>
        <w:tc>
          <w:tcPr>
            <w:tcW w:w="2360" w:type="dxa"/>
            <w:shd w:val="clear" w:color="auto" w:fill="auto"/>
            <w:vAlign w:val="center"/>
          </w:tcPr>
          <w:p>
            <w:pPr>
              <w:widowControl/>
              <w:jc w:val="left"/>
              <w:rPr>
                <w:rFonts w:hint="eastAsia" w:ascii="宋体" w:hAnsi="宋体" w:cs="宋体"/>
                <w:kern w:val="0"/>
                <w:sz w:val="24"/>
              </w:rPr>
            </w:pPr>
            <w:r>
              <w:rPr>
                <w:rFonts w:hint="eastAsia" w:ascii="宋体" w:hAnsi="宋体" w:cs="宋体"/>
                <w:kern w:val="0"/>
                <w:sz w:val="24"/>
              </w:rPr>
              <w:t>具体方案根据发包人的具体要求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3" w:type="dxa"/>
            <w:shd w:val="clear" w:color="auto" w:fill="auto"/>
            <w:vAlign w:val="center"/>
          </w:tcPr>
          <w:p>
            <w:pPr>
              <w:jc w:val="center"/>
              <w:rPr>
                <w:rFonts w:ascii="宋体" w:hAnsi="宋体" w:cs="宋体"/>
                <w:sz w:val="24"/>
              </w:rPr>
            </w:pPr>
            <w:r>
              <w:rPr>
                <w:rFonts w:hint="eastAsia" w:ascii="宋体" w:hAnsi="宋体" w:cs="宋体"/>
                <w:sz w:val="24"/>
              </w:rPr>
              <w:t>7</w:t>
            </w:r>
          </w:p>
        </w:tc>
        <w:tc>
          <w:tcPr>
            <w:tcW w:w="2709" w:type="dxa"/>
            <w:shd w:val="clear" w:color="auto" w:fill="auto"/>
            <w:vAlign w:val="center"/>
          </w:tcPr>
          <w:p>
            <w:pPr>
              <w:widowControl/>
              <w:jc w:val="left"/>
              <w:rPr>
                <w:rFonts w:ascii="宋体" w:hAnsi="宋体" w:cs="宋体"/>
                <w:kern w:val="0"/>
                <w:sz w:val="24"/>
              </w:rPr>
            </w:pPr>
            <w:r>
              <w:rPr>
                <w:rFonts w:hint="eastAsia" w:ascii="宋体" w:hAnsi="宋体" w:cs="宋体"/>
                <w:kern w:val="0"/>
                <w:sz w:val="24"/>
              </w:rPr>
              <w:t>招标配合（</w:t>
            </w:r>
            <w:r>
              <w:rPr>
                <w:rFonts w:hint="eastAsia" w:ascii="宋体" w:hAnsi="宋体" w:cs="Leelawadee UI"/>
                <w:kern w:val="0"/>
                <w:sz w:val="24"/>
              </w:rPr>
              <w:t>提</w:t>
            </w:r>
            <w:r>
              <w:rPr>
                <w:rFonts w:hint="eastAsia" w:ascii="宋体" w:hAnsi="宋体" w:cs="宋体"/>
                <w:kern w:val="0"/>
                <w:sz w:val="24"/>
              </w:rPr>
              <w:t>供编制各项招标文件中的技术要求和参数指标）</w:t>
            </w:r>
          </w:p>
        </w:tc>
        <w:tc>
          <w:tcPr>
            <w:tcW w:w="1215" w:type="dxa"/>
            <w:shd w:val="clear" w:color="auto" w:fill="auto"/>
            <w:vAlign w:val="center"/>
          </w:tcPr>
          <w:p>
            <w:pPr>
              <w:jc w:val="center"/>
              <w:rPr>
                <w:rFonts w:ascii="宋体" w:hAnsi="宋体" w:cs="宋体"/>
                <w:sz w:val="24"/>
              </w:rPr>
            </w:pPr>
          </w:p>
        </w:tc>
        <w:tc>
          <w:tcPr>
            <w:tcW w:w="2306" w:type="dxa"/>
            <w:shd w:val="clear" w:color="auto" w:fill="auto"/>
            <w:vAlign w:val="center"/>
          </w:tcPr>
          <w:p>
            <w:pPr>
              <w:widowControl/>
              <w:jc w:val="left"/>
              <w:rPr>
                <w:rFonts w:hint="eastAsia" w:ascii="宋体" w:hAnsi="宋体" w:cs="宋体"/>
                <w:kern w:val="0"/>
                <w:sz w:val="24"/>
              </w:rPr>
            </w:pPr>
            <w:r>
              <w:rPr>
                <w:rFonts w:hint="eastAsia" w:ascii="宋体" w:hAnsi="宋体" w:cs="宋体"/>
                <w:kern w:val="0"/>
                <w:sz w:val="24"/>
              </w:rPr>
              <w:t>满足发包人要求</w:t>
            </w:r>
          </w:p>
        </w:tc>
        <w:tc>
          <w:tcPr>
            <w:tcW w:w="2360" w:type="dxa"/>
            <w:shd w:val="clear" w:color="auto" w:fill="auto"/>
            <w:vAlign w:val="center"/>
          </w:tcPr>
          <w:p>
            <w:pPr>
              <w:widowControl/>
              <w:jc w:val="left"/>
              <w:rPr>
                <w:rFonts w:hint="eastAsia" w:ascii="宋体" w:hAnsi="宋体" w:cs="宋体"/>
                <w:kern w:val="0"/>
                <w:sz w:val="24"/>
              </w:rPr>
            </w:pPr>
            <w:r>
              <w:rPr>
                <w:rFonts w:hint="eastAsia" w:ascii="宋体" w:hAnsi="宋体" w:cs="宋体"/>
                <w:kern w:val="0"/>
                <w:sz w:val="24"/>
              </w:rPr>
              <w:t>根据发包人的具体要求</w:t>
            </w:r>
          </w:p>
        </w:tc>
      </w:tr>
    </w:tbl>
    <w:p>
      <w:pPr>
        <w:spacing w:line="360" w:lineRule="auto"/>
        <w:ind w:firstLine="480" w:firstLineChars="200"/>
        <w:rPr>
          <w:rFonts w:ascii="宋体" w:hAnsi="宋体" w:cs="宋体"/>
          <w:sz w:val="24"/>
        </w:rPr>
      </w:pPr>
      <w:r>
        <w:rPr>
          <w:rFonts w:hint="eastAsia" w:ascii="宋体" w:hAnsi="宋体" w:cs="宋体"/>
          <w:sz w:val="24"/>
        </w:rPr>
        <w:t>注：修建性详细规划、建筑方案设计、初步设计</w:t>
      </w:r>
      <w:r>
        <w:rPr>
          <w:rFonts w:ascii="宋体" w:hAnsi="宋体" w:cs="Leelawadee UI"/>
          <w:sz w:val="24"/>
        </w:rPr>
        <w:t>提</w:t>
      </w:r>
      <w:r>
        <w:rPr>
          <w:rFonts w:hint="eastAsia" w:ascii="宋体" w:hAnsi="宋体" w:cs="宋体"/>
          <w:sz w:val="24"/>
        </w:rPr>
        <w:t>交纸质档文件同时</w:t>
      </w:r>
      <w:r>
        <w:rPr>
          <w:rFonts w:ascii="宋体" w:hAnsi="宋体" w:cs="Leelawadee UI"/>
          <w:sz w:val="24"/>
        </w:rPr>
        <w:t>提</w:t>
      </w:r>
      <w:r>
        <w:rPr>
          <w:rFonts w:hint="eastAsia" w:ascii="宋体" w:hAnsi="宋体" w:cs="宋体"/>
          <w:sz w:val="24"/>
        </w:rPr>
        <w:t>交</w:t>
      </w:r>
      <w:r>
        <w:rPr>
          <w:rFonts w:ascii="宋体" w:hAnsi="宋体" w:cs="宋体"/>
          <w:sz w:val="24"/>
        </w:rPr>
        <w:t>CAD</w:t>
      </w:r>
      <w:r>
        <w:rPr>
          <w:rFonts w:hint="eastAsia" w:ascii="宋体" w:hAnsi="宋体" w:cs="宋体"/>
          <w:sz w:val="24"/>
        </w:rPr>
        <w:t>版图纸，且纸质档资料与</w:t>
      </w:r>
      <w:r>
        <w:rPr>
          <w:rFonts w:ascii="宋体" w:hAnsi="宋体" w:cs="宋体"/>
          <w:sz w:val="24"/>
        </w:rPr>
        <w:t>CAD</w:t>
      </w:r>
      <w:r>
        <w:rPr>
          <w:rFonts w:hint="eastAsia" w:ascii="宋体" w:hAnsi="宋体" w:cs="宋体"/>
          <w:sz w:val="24"/>
        </w:rPr>
        <w:t>版图纸保持一致。所有纸质文档须按照建设工程档案整理规范要求装订，并</w:t>
      </w:r>
      <w:r>
        <w:rPr>
          <w:rFonts w:ascii="宋体" w:hAnsi="宋体" w:cs="Leelawadee UI"/>
          <w:sz w:val="24"/>
        </w:rPr>
        <w:t>提</w:t>
      </w:r>
      <w:r>
        <w:rPr>
          <w:rFonts w:hint="eastAsia" w:ascii="宋体" w:hAnsi="宋体" w:cs="宋体"/>
          <w:sz w:val="24"/>
        </w:rPr>
        <w:t>供电子文档CD光盘。</w:t>
      </w:r>
    </w:p>
    <w:p>
      <w:pPr>
        <w:widowControl/>
        <w:spacing w:line="360" w:lineRule="auto"/>
        <w:ind w:firstLine="482" w:firstLineChars="200"/>
        <w:jc w:val="left"/>
        <w:rPr>
          <w:rFonts w:ascii="宋体" w:hAnsi="宋体" w:cs="宋体"/>
          <w:kern w:val="0"/>
          <w:sz w:val="24"/>
        </w:rPr>
      </w:pPr>
      <w:r>
        <w:rPr>
          <w:rFonts w:hint="eastAsia" w:ascii="宋体" w:hAnsi="宋体" w:cs="宋体"/>
          <w:b/>
          <w:bCs/>
          <w:kern w:val="0"/>
          <w:sz w:val="24"/>
        </w:rPr>
        <w:t>七、设计人服务要求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设计单位必须做好项目实施过程中的现场服务工作，包括但不限于以下：</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1.本项目勘察设计工作必须由中标人为主体完成。外地单位中标后应在合肥本地设立常驻工作机构，由项目联系人和相关专业负责人组成。</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2.在整个设计服务期内，中标人须无条件参加招标人组织的与本工程相关的考察、调研工作，费用自理。</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3.在工程招标、开工准备阶段，中标人应按招标人要求，指派相应的勘察设计组成员及时配合，要求24小时内到场，及时协调解决招标、开工准备阶段的设计问题、技术问题，</w:t>
      </w:r>
      <w:r>
        <w:rPr>
          <w:rFonts w:ascii="宋体" w:hAnsi="宋体" w:cs="Leelawadee UI"/>
          <w:kern w:val="0"/>
          <w:sz w:val="24"/>
        </w:rPr>
        <w:t>提</w:t>
      </w:r>
      <w:r>
        <w:rPr>
          <w:rFonts w:hint="eastAsia" w:ascii="宋体" w:hAnsi="宋体" w:cs="宋体"/>
          <w:kern w:val="0"/>
          <w:sz w:val="24"/>
        </w:rPr>
        <w:t>出经济合理的解决方案，所发生的交通等费用自理。</w:t>
      </w:r>
    </w:p>
    <w:p>
      <w:pPr>
        <w:widowControl/>
        <w:spacing w:line="360" w:lineRule="auto"/>
        <w:ind w:firstLine="482" w:firstLineChars="200"/>
        <w:jc w:val="left"/>
        <w:rPr>
          <w:rFonts w:ascii="宋体" w:hAnsi="宋体" w:cs="宋体"/>
          <w:kern w:val="0"/>
          <w:sz w:val="24"/>
        </w:rPr>
      </w:pPr>
      <w:r>
        <w:rPr>
          <w:rFonts w:hint="eastAsia" w:ascii="宋体" w:hAnsi="宋体" w:cs="宋体"/>
          <w:b/>
          <w:bCs/>
          <w:kern w:val="0"/>
          <w:sz w:val="24"/>
        </w:rPr>
        <w:t>八、发包人</w:t>
      </w:r>
      <w:r>
        <w:rPr>
          <w:rFonts w:ascii="宋体" w:hAnsi="宋体" w:cs="Leelawadee UI"/>
          <w:b/>
          <w:bCs/>
          <w:kern w:val="0"/>
          <w:sz w:val="24"/>
        </w:rPr>
        <w:t>提</w:t>
      </w:r>
      <w:r>
        <w:rPr>
          <w:rFonts w:hint="eastAsia" w:ascii="宋体" w:hAnsi="宋体" w:cs="宋体"/>
          <w:b/>
          <w:bCs/>
          <w:kern w:val="0"/>
          <w:sz w:val="24"/>
        </w:rPr>
        <w:t>供的材料</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w:t>
      </w:r>
      <w:r>
        <w:rPr>
          <w:rFonts w:hint="eastAsia" w:ascii="宋体" w:hAnsi="宋体" w:cs="宋体"/>
          <w:kern w:val="0"/>
          <w:sz w:val="24"/>
          <w:lang w:val="en-US" w:eastAsia="zh-CN"/>
        </w:rPr>
        <w:t>.</w:t>
      </w:r>
      <w:r>
        <w:rPr>
          <w:rFonts w:hint="eastAsia" w:ascii="宋体" w:hAnsi="宋体" w:cs="宋体"/>
          <w:kern w:val="0"/>
          <w:sz w:val="24"/>
        </w:rPr>
        <w:t>项目建议书批复</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2</w:t>
      </w:r>
      <w:r>
        <w:rPr>
          <w:rFonts w:hint="eastAsia" w:ascii="宋体" w:hAnsi="宋体" w:cs="宋体"/>
          <w:kern w:val="0"/>
          <w:sz w:val="24"/>
          <w:lang w:val="en-US" w:eastAsia="zh-CN"/>
        </w:rPr>
        <w:t>.</w:t>
      </w:r>
      <w:r>
        <w:rPr>
          <w:rFonts w:hint="eastAsia" w:ascii="宋体" w:hAnsi="宋体" w:cs="宋体"/>
          <w:kern w:val="0"/>
          <w:sz w:val="24"/>
        </w:rPr>
        <w:t>概念性规划设计方案</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3</w:t>
      </w:r>
      <w:r>
        <w:rPr>
          <w:rFonts w:hint="eastAsia" w:ascii="宋体" w:hAnsi="宋体" w:cs="宋体"/>
          <w:kern w:val="0"/>
          <w:sz w:val="24"/>
          <w:lang w:val="en-US" w:eastAsia="zh-CN"/>
        </w:rPr>
        <w:t>.</w:t>
      </w:r>
      <w:r>
        <w:rPr>
          <w:rFonts w:hint="eastAsia" w:ascii="宋体" w:hAnsi="宋体" w:cs="宋体"/>
          <w:kern w:val="0"/>
          <w:sz w:val="24"/>
        </w:rPr>
        <w:t>控制性详细规划</w:t>
      </w:r>
    </w:p>
    <w:p>
      <w:pPr>
        <w:widowControl/>
        <w:spacing w:line="360" w:lineRule="auto"/>
        <w:ind w:firstLine="482" w:firstLineChars="200"/>
        <w:jc w:val="left"/>
        <w:rPr>
          <w:rFonts w:ascii="宋体" w:hAnsi="宋体" w:cs="宋体"/>
          <w:kern w:val="0"/>
          <w:sz w:val="24"/>
        </w:rPr>
      </w:pPr>
      <w:r>
        <w:rPr>
          <w:rFonts w:hint="eastAsia" w:ascii="宋体" w:hAnsi="宋体" w:cs="宋体"/>
          <w:b/>
          <w:bCs/>
          <w:kern w:val="0"/>
          <w:sz w:val="24"/>
        </w:rPr>
        <w:t>九、其它要求</w:t>
      </w:r>
    </w:p>
    <w:p>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1.中标人必须是方案的原创作者，依法享有著作权（招标人所有知识产权）。若发生由于侵犯了其他人知识产权，造成的任何纠纷，一切法律责任及给招标人造成的损失均由投标设计人承担。</w:t>
      </w:r>
    </w:p>
    <w:p>
      <w:pPr>
        <w:widowControl/>
        <w:spacing w:line="360" w:lineRule="auto"/>
        <w:ind w:firstLine="480" w:firstLineChars="200"/>
        <w:jc w:val="left"/>
        <w:rPr>
          <w:rFonts w:ascii="宋体" w:hAnsi="宋体" w:cs="宋体"/>
          <w:kern w:val="0"/>
          <w:sz w:val="24"/>
        </w:rPr>
      </w:pPr>
      <w:r>
        <w:rPr>
          <w:rFonts w:ascii="宋体" w:hAnsi="宋体" w:cs="宋体"/>
          <w:kern w:val="0"/>
          <w:sz w:val="24"/>
        </w:rPr>
        <w:t>2</w:t>
      </w:r>
      <w:r>
        <w:rPr>
          <w:rFonts w:hint="eastAsia" w:ascii="宋体" w:hAnsi="宋体" w:cs="宋体"/>
          <w:kern w:val="0"/>
          <w:sz w:val="24"/>
        </w:rPr>
        <w:t>.设计人对设计资料及文件出现的遗漏或错误负责修改或补充。因设计单位失误原因造成工程质量等事故，设计人除负责采取补救措施外，应免收直接受损失部分的设计费，并赔偿发包人由此造成的损失（包含但不限于拆除费用、工期延误、施工单位及监理单位窝工产生的费用等），赔偿额最高限额不超过设计费总额。</w:t>
      </w:r>
    </w:p>
    <w:p>
      <w:pPr>
        <w:widowControl/>
        <w:spacing w:line="360" w:lineRule="auto"/>
        <w:ind w:firstLine="480" w:firstLineChars="200"/>
        <w:jc w:val="left"/>
        <w:rPr>
          <w:rFonts w:ascii="宋体" w:hAnsi="宋体" w:cs="宋体"/>
          <w:kern w:val="0"/>
          <w:sz w:val="24"/>
        </w:rPr>
      </w:pPr>
      <w:r>
        <w:rPr>
          <w:rFonts w:ascii="宋体" w:hAnsi="宋体" w:cs="宋体"/>
          <w:kern w:val="0"/>
          <w:sz w:val="24"/>
        </w:rPr>
        <w:t>3</w:t>
      </w:r>
      <w:r>
        <w:rPr>
          <w:rFonts w:hint="eastAsia" w:ascii="宋体" w:hAnsi="宋体" w:cs="宋体"/>
          <w:kern w:val="0"/>
          <w:sz w:val="24"/>
        </w:rPr>
        <w:t>.设计服务费包含本项目招标需求中所有工作内容及含有所投服务、保险、税费、全部设计（勘察）内容的所有评审费用、设计配合、现场服务、交付后约定期限内免费后续服务等为完成此次设计工作所须发生的一切应有费用。</w:t>
      </w:r>
    </w:p>
    <w:p>
      <w:pPr>
        <w:pStyle w:val="4"/>
        <w:keepNext w:val="0"/>
        <w:keepLines w:val="0"/>
        <w:spacing w:before="0" w:after="0" w:line="600" w:lineRule="exact"/>
        <w:jc w:val="center"/>
        <w:rPr>
          <w:rFonts w:ascii="黑体" w:hAnsi="黑体" w:eastAsia="黑体" w:cs="黑体"/>
          <w:b w:val="0"/>
        </w:rPr>
      </w:pPr>
      <w:r>
        <w:rPr>
          <w:rFonts w:ascii="黑体" w:hAnsi="黑体" w:eastAsia="黑体" w:cs="黑体"/>
          <w:b w:val="0"/>
        </w:rPr>
        <w:br w:type="page"/>
      </w:r>
    </w:p>
    <w:p>
      <w:pPr>
        <w:pStyle w:val="4"/>
        <w:keepNext w:val="0"/>
        <w:keepLines w:val="0"/>
        <w:spacing w:before="0" w:after="0" w:line="600" w:lineRule="exact"/>
        <w:jc w:val="center"/>
        <w:rPr>
          <w:rFonts w:ascii="黑体" w:hAnsi="黑体" w:eastAsia="黑体" w:cs="黑体"/>
          <w:b w:val="0"/>
        </w:rPr>
      </w:pPr>
      <w:r>
        <w:rPr>
          <w:rFonts w:hint="eastAsia" w:ascii="黑体" w:hAnsi="黑体" w:eastAsia="黑体" w:cs="黑体"/>
          <w:b w:val="0"/>
        </w:rPr>
        <w:t>附件2评标办法及评分标准</w:t>
      </w:r>
    </w:p>
    <w:tbl>
      <w:tblPr>
        <w:tblStyle w:val="50"/>
        <w:tblW w:w="4972"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65"/>
        <w:gridCol w:w="1597"/>
        <w:gridCol w:w="726"/>
        <w:gridCol w:w="638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286" w:type="pct"/>
            <w:gridSpan w:val="2"/>
            <w:tcBorders>
              <w:top w:val="single" w:color="auto" w:sz="4" w:space="0"/>
              <w:bottom w:val="single" w:color="auto" w:sz="4" w:space="0"/>
              <w:right w:val="single" w:color="auto" w:sz="4" w:space="0"/>
            </w:tcBorders>
            <w:vAlign w:val="center"/>
          </w:tcPr>
          <w:p>
            <w:pPr>
              <w:spacing w:line="440" w:lineRule="exact"/>
              <w:jc w:val="center"/>
              <w:rPr>
                <w:rFonts w:ascii="宋体" w:hAnsi="宋体" w:cs="宋体"/>
                <w:b/>
                <w:sz w:val="24"/>
              </w:rPr>
            </w:pPr>
            <w:r>
              <w:rPr>
                <w:rFonts w:hint="eastAsia" w:ascii="宋体" w:hAnsi="宋体" w:cs="宋体"/>
                <w:b/>
                <w:sz w:val="24"/>
              </w:rPr>
              <w:t>评审因素</w:t>
            </w:r>
          </w:p>
        </w:tc>
        <w:tc>
          <w:tcPr>
            <w:tcW w:w="3714" w:type="pct"/>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b/>
                <w:sz w:val="24"/>
              </w:rPr>
            </w:pPr>
            <w:r>
              <w:rPr>
                <w:rFonts w:hint="eastAsia" w:ascii="宋体" w:hAnsi="宋体" w:cs="宋体"/>
                <w:b/>
                <w:sz w:val="24"/>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452" w:type="pct"/>
            <w:vMerge w:val="restart"/>
            <w:tcBorders>
              <w:top w:val="single" w:color="auto" w:sz="4" w:space="0"/>
              <w:right w:val="single" w:color="auto" w:sz="4" w:space="0"/>
            </w:tcBorders>
            <w:vAlign w:val="center"/>
          </w:tcPr>
          <w:p>
            <w:pPr>
              <w:spacing w:line="440" w:lineRule="exact"/>
              <w:jc w:val="center"/>
              <w:rPr>
                <w:rFonts w:ascii="宋体" w:hAnsi="宋体" w:cs="宋体"/>
                <w:sz w:val="24"/>
              </w:rPr>
            </w:pPr>
            <w:r>
              <w:rPr>
                <w:rFonts w:hint="eastAsia" w:ascii="宋体" w:hAnsi="宋体" w:cs="宋体"/>
                <w:sz w:val="24"/>
              </w:rPr>
              <w:t>技术文件评分标准</w:t>
            </w:r>
          </w:p>
        </w:tc>
        <w:tc>
          <w:tcPr>
            <w:tcW w:w="834"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 w:val="24"/>
              </w:rPr>
            </w:pPr>
            <w:r>
              <w:rPr>
                <w:rFonts w:ascii="宋体" w:hAnsi="宋体" w:cs="宋体"/>
                <w:sz w:val="24"/>
              </w:rPr>
              <w:t>设计成果完整性、合规性</w:t>
            </w:r>
          </w:p>
        </w:tc>
        <w:tc>
          <w:tcPr>
            <w:tcW w:w="379" w:type="pct"/>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4"/>
              </w:rPr>
            </w:pPr>
            <w:r>
              <w:rPr>
                <w:rFonts w:ascii="宋体" w:hAnsi="宋体" w:cs="宋体"/>
                <w:kern w:val="0"/>
                <w:sz w:val="24"/>
              </w:rPr>
              <w:t>15</w:t>
            </w:r>
            <w:r>
              <w:rPr>
                <w:rFonts w:hint="eastAsia" w:ascii="宋体" w:hAnsi="宋体" w:cs="宋体"/>
                <w:kern w:val="0"/>
                <w:sz w:val="24"/>
              </w:rPr>
              <w:t>分</w:t>
            </w:r>
          </w:p>
        </w:tc>
        <w:tc>
          <w:tcPr>
            <w:tcW w:w="3335" w:type="pct"/>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4"/>
              </w:rPr>
            </w:pPr>
            <w:r>
              <w:rPr>
                <w:rFonts w:hint="eastAsia" w:ascii="宋体" w:hAnsi="宋体" w:cs="宋体"/>
                <w:sz w:val="24"/>
              </w:rPr>
              <w:t>1．设计文件：设计文件是否完整、设计是否合理、满足要求，设计原则和各专业说明是否符合国家及地方相关规范和标准，结构、设备等专业设计与建筑是否匹配。设计文件内容全面并符合实际情况，总体设计文件思路清晰，理解全面、技术经济合理，可实施性强，且符合项目用地条件和周边环境。</w:t>
            </w:r>
            <w:r>
              <w:rPr>
                <w:rFonts w:hint="eastAsia" w:ascii="宋体" w:hAnsi="宋体" w:cs="宋体"/>
                <w:sz w:val="24"/>
              </w:rPr>
              <w:br w:type="textWrapping"/>
            </w:r>
            <w:r>
              <w:rPr>
                <w:rFonts w:hint="eastAsia" w:ascii="宋体" w:hAnsi="宋体" w:cs="宋体"/>
                <w:b/>
                <w:bCs/>
                <w:sz w:val="24"/>
              </w:rPr>
              <w:t>优秀：</w:t>
            </w:r>
            <w:r>
              <w:rPr>
                <w:rFonts w:ascii="宋体" w:hAnsi="宋体" w:cs="宋体"/>
                <w:b/>
                <w:bCs/>
                <w:sz w:val="24"/>
              </w:rPr>
              <w:t>5</w:t>
            </w:r>
            <w:r>
              <w:rPr>
                <w:rFonts w:hint="eastAsia" w:ascii="宋体" w:hAnsi="宋体" w:cs="宋体"/>
                <w:b/>
                <w:bCs/>
                <w:sz w:val="24"/>
              </w:rPr>
              <w:t>分&lt;F≤</w:t>
            </w:r>
            <w:r>
              <w:rPr>
                <w:rFonts w:ascii="宋体" w:hAnsi="宋体" w:cs="宋体"/>
                <w:b/>
                <w:bCs/>
                <w:sz w:val="24"/>
              </w:rPr>
              <w:t>6</w:t>
            </w:r>
            <w:r>
              <w:rPr>
                <w:rFonts w:hint="eastAsia" w:ascii="宋体" w:hAnsi="宋体" w:cs="宋体"/>
                <w:b/>
                <w:bCs/>
                <w:sz w:val="24"/>
              </w:rPr>
              <w:t>分、良好：</w:t>
            </w:r>
            <w:r>
              <w:rPr>
                <w:rFonts w:ascii="宋体" w:hAnsi="宋体" w:cs="宋体"/>
                <w:b/>
                <w:bCs/>
                <w:sz w:val="24"/>
              </w:rPr>
              <w:t>3</w:t>
            </w:r>
            <w:r>
              <w:rPr>
                <w:rFonts w:hint="eastAsia" w:ascii="宋体" w:hAnsi="宋体" w:cs="宋体"/>
                <w:b/>
                <w:bCs/>
                <w:sz w:val="24"/>
              </w:rPr>
              <w:t>分&lt;F≤</w:t>
            </w:r>
            <w:r>
              <w:rPr>
                <w:rFonts w:ascii="宋体" w:hAnsi="宋体" w:cs="宋体"/>
                <w:b/>
                <w:bCs/>
                <w:sz w:val="24"/>
              </w:rPr>
              <w:t>5</w:t>
            </w:r>
            <w:r>
              <w:rPr>
                <w:rFonts w:hint="eastAsia" w:ascii="宋体" w:hAnsi="宋体" w:cs="宋体"/>
                <w:b/>
                <w:bCs/>
                <w:sz w:val="24"/>
              </w:rPr>
              <w:t>分、一般：</w:t>
            </w:r>
            <w:r>
              <w:rPr>
                <w:rFonts w:ascii="宋体" w:hAnsi="宋体" w:cs="宋体"/>
                <w:b/>
                <w:bCs/>
                <w:sz w:val="24"/>
              </w:rPr>
              <w:t>1</w:t>
            </w:r>
            <w:r>
              <w:rPr>
                <w:rFonts w:hint="eastAsia" w:ascii="宋体" w:hAnsi="宋体" w:cs="宋体"/>
                <w:b/>
                <w:bCs/>
                <w:sz w:val="24"/>
              </w:rPr>
              <w:t>分≤F≤</w:t>
            </w:r>
            <w:r>
              <w:rPr>
                <w:rFonts w:ascii="宋体" w:hAnsi="宋体" w:cs="宋体"/>
                <w:b/>
                <w:bCs/>
                <w:sz w:val="24"/>
              </w:rPr>
              <w:t>3</w:t>
            </w:r>
            <w:r>
              <w:rPr>
                <w:rFonts w:hint="eastAsia" w:ascii="宋体" w:hAnsi="宋体" w:cs="宋体"/>
                <w:b/>
                <w:bCs/>
                <w:sz w:val="24"/>
              </w:rPr>
              <w:t>分，没有不得分。</w:t>
            </w:r>
            <w:r>
              <w:rPr>
                <w:rFonts w:hint="eastAsia" w:ascii="宋体" w:hAnsi="宋体" w:cs="宋体"/>
                <w:sz w:val="24"/>
              </w:rPr>
              <w:br w:type="textWrapping"/>
            </w:r>
            <w:r>
              <w:rPr>
                <w:rFonts w:hint="eastAsia" w:ascii="宋体" w:hAnsi="宋体" w:cs="宋体"/>
                <w:sz w:val="24"/>
              </w:rPr>
              <w:t>2.技术图纸：提供不少于3个主要单体建筑图纸（图书馆、综合教学楼、实验实训楼）。内容包括但不限于：各层平面图、立面图、剖面图、结构布置图、给排水、暖通、供电及弱电各系统以及水、电的用量指标及规划管网综合图。</w:t>
            </w:r>
            <w:r>
              <w:rPr>
                <w:rFonts w:hint="eastAsia" w:ascii="宋体" w:hAnsi="宋体" w:cs="宋体"/>
                <w:sz w:val="24"/>
              </w:rPr>
              <w:br w:type="textWrapping"/>
            </w:r>
            <w:r>
              <w:rPr>
                <w:rFonts w:hint="eastAsia" w:ascii="宋体" w:hAnsi="宋体" w:cs="宋体"/>
                <w:b/>
                <w:bCs/>
                <w:sz w:val="24"/>
              </w:rPr>
              <w:t>优秀：5分&lt;F≤6分、良好：3分&lt;F≤5分、一般：1分≤F≤</w:t>
            </w:r>
            <w:r>
              <w:rPr>
                <w:rFonts w:ascii="宋体" w:hAnsi="宋体" w:cs="宋体"/>
                <w:b/>
                <w:bCs/>
                <w:sz w:val="24"/>
              </w:rPr>
              <w:t>3</w:t>
            </w:r>
            <w:r>
              <w:rPr>
                <w:rFonts w:hint="eastAsia" w:ascii="宋体" w:hAnsi="宋体" w:cs="宋体"/>
                <w:b/>
                <w:bCs/>
                <w:sz w:val="24"/>
              </w:rPr>
              <w:t>分，没有不得分。</w:t>
            </w:r>
          </w:p>
          <w:p>
            <w:pPr>
              <w:spacing w:line="440" w:lineRule="exact"/>
              <w:rPr>
                <w:rFonts w:ascii="宋体" w:hAnsi="宋体" w:cs="宋体"/>
                <w:sz w:val="24"/>
              </w:rPr>
            </w:pPr>
            <w:r>
              <w:rPr>
                <w:rFonts w:hint="eastAsia" w:ascii="宋体" w:hAnsi="宋体" w:cs="宋体"/>
                <w:sz w:val="24"/>
              </w:rPr>
              <w:t>3.建筑专业说明：现状条件分析、规划原则和总体构思、用地布局、空间组织和景观特色、道路和绿地系统规划、竖向设计、各单体设计说明、总体及分期经济技术指标、各专业工程规划（结构、设备、消防、人防、节能、环保、管线综合等）、投资估算及分期估算。</w:t>
            </w:r>
            <w:r>
              <w:rPr>
                <w:rFonts w:hint="eastAsia" w:ascii="宋体" w:hAnsi="宋体" w:cs="宋体"/>
                <w:sz w:val="24"/>
              </w:rPr>
              <w:br w:type="textWrapping"/>
            </w:r>
            <w:r>
              <w:rPr>
                <w:rFonts w:hint="eastAsia" w:ascii="宋体" w:hAnsi="宋体" w:cs="宋体"/>
                <w:b/>
                <w:bCs/>
                <w:sz w:val="24"/>
              </w:rPr>
              <w:t>优秀：3分、良好：2分、一般：</w:t>
            </w:r>
            <w:r>
              <w:rPr>
                <w:rFonts w:ascii="宋体" w:hAnsi="宋体" w:cs="宋体"/>
                <w:b/>
                <w:bCs/>
                <w:sz w:val="24"/>
              </w:rPr>
              <w:t>1</w:t>
            </w:r>
            <w:r>
              <w:rPr>
                <w:rFonts w:hint="eastAsia" w:ascii="宋体" w:hAnsi="宋体" w:cs="宋体"/>
                <w:b/>
                <w:bCs/>
                <w:sz w:val="24"/>
              </w:rPr>
              <w:t>分，没有不得分。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452" w:type="pct"/>
            <w:vMerge w:val="continue"/>
            <w:tcBorders>
              <w:top w:val="single" w:color="auto" w:sz="4" w:space="0"/>
              <w:right w:val="single" w:color="auto" w:sz="4" w:space="0"/>
            </w:tcBorders>
            <w:vAlign w:val="center"/>
          </w:tcPr>
          <w:p>
            <w:pPr>
              <w:spacing w:line="440" w:lineRule="exact"/>
              <w:jc w:val="center"/>
              <w:rPr>
                <w:rFonts w:ascii="宋体" w:hAnsi="宋体" w:cs="宋体"/>
                <w:sz w:val="24"/>
              </w:rPr>
            </w:pPr>
          </w:p>
        </w:tc>
        <w:tc>
          <w:tcPr>
            <w:tcW w:w="834"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 w:val="24"/>
              </w:rPr>
            </w:pPr>
            <w:r>
              <w:rPr>
                <w:rFonts w:hint="eastAsia" w:ascii="宋体" w:hAnsi="宋体" w:cs="宋体"/>
                <w:sz w:val="24"/>
              </w:rPr>
              <w:t>B</w:t>
            </w:r>
            <w:r>
              <w:rPr>
                <w:rFonts w:ascii="宋体" w:hAnsi="宋体" w:cs="宋体"/>
                <w:sz w:val="24"/>
              </w:rPr>
              <w:t>IM</w:t>
            </w:r>
            <w:r>
              <w:rPr>
                <w:rFonts w:hint="eastAsia" w:ascii="宋体" w:hAnsi="宋体" w:cs="宋体"/>
                <w:sz w:val="24"/>
              </w:rPr>
              <w:t>规划设计方案</w:t>
            </w:r>
          </w:p>
        </w:tc>
        <w:tc>
          <w:tcPr>
            <w:tcW w:w="379"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kern w:val="0"/>
                <w:sz w:val="24"/>
              </w:rPr>
            </w:pPr>
            <w:r>
              <w:rPr>
                <w:rFonts w:hint="eastAsia" w:ascii="宋体" w:hAnsi="宋体" w:cs="宋体"/>
                <w:kern w:val="0"/>
                <w:sz w:val="24"/>
              </w:rPr>
              <w:t>3分</w:t>
            </w:r>
          </w:p>
        </w:tc>
        <w:tc>
          <w:tcPr>
            <w:tcW w:w="3335" w:type="pct"/>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4"/>
              </w:rPr>
            </w:pPr>
            <w:r>
              <w:rPr>
                <w:rFonts w:hint="eastAsia" w:ascii="宋体" w:hAnsi="宋体" w:cs="宋体"/>
                <w:sz w:val="24"/>
              </w:rPr>
              <w:t>B</w:t>
            </w:r>
            <w:r>
              <w:rPr>
                <w:rFonts w:ascii="宋体" w:hAnsi="宋体" w:cs="宋体"/>
                <w:sz w:val="24"/>
              </w:rPr>
              <w:t>IM</w:t>
            </w:r>
            <w:r>
              <w:rPr>
                <w:rFonts w:hint="eastAsia" w:ascii="宋体" w:hAnsi="宋体" w:cs="宋体"/>
                <w:sz w:val="24"/>
              </w:rPr>
              <w:t>规划设计方案具体详细，可行性强、能有效控制工程投资、保证工程质量者得</w:t>
            </w:r>
            <w:r>
              <w:rPr>
                <w:rFonts w:ascii="宋体" w:hAnsi="宋体" w:cs="宋体"/>
                <w:sz w:val="24"/>
              </w:rPr>
              <w:t>1</w:t>
            </w:r>
            <w:r>
              <w:rPr>
                <w:rFonts w:hint="eastAsia" w:ascii="宋体" w:hAnsi="宋体" w:cs="宋体"/>
                <w:sz w:val="24"/>
              </w:rPr>
              <w:t>分≤F≤</w:t>
            </w:r>
            <w:r>
              <w:rPr>
                <w:rFonts w:ascii="宋体" w:hAnsi="宋体" w:cs="宋体"/>
                <w:sz w:val="24"/>
              </w:rPr>
              <w:t>3</w:t>
            </w:r>
            <w:r>
              <w:rPr>
                <w:rFonts w:hint="eastAsia" w:ascii="宋体" w:hAnsi="宋体" w:cs="宋体"/>
                <w:sz w:val="24"/>
              </w:rPr>
              <w:t>分，没有不得分。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452" w:type="pct"/>
            <w:vMerge w:val="continue"/>
            <w:tcBorders>
              <w:right w:val="single" w:color="auto" w:sz="4" w:space="0"/>
            </w:tcBorders>
            <w:vAlign w:val="center"/>
          </w:tcPr>
          <w:p>
            <w:pPr>
              <w:spacing w:line="440" w:lineRule="exact"/>
              <w:jc w:val="center"/>
              <w:rPr>
                <w:rFonts w:ascii="宋体" w:hAnsi="宋体" w:cs="宋体"/>
                <w:sz w:val="24"/>
              </w:rPr>
            </w:pPr>
          </w:p>
        </w:tc>
        <w:tc>
          <w:tcPr>
            <w:tcW w:w="834"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 w:val="24"/>
              </w:rPr>
            </w:pPr>
            <w:r>
              <w:rPr>
                <w:rFonts w:hint="eastAsia" w:ascii="宋体" w:hAnsi="宋体" w:cs="宋体"/>
                <w:sz w:val="24"/>
              </w:rPr>
              <w:t>工作要点分析及关键性技术问题的对策措施</w:t>
            </w:r>
          </w:p>
        </w:tc>
        <w:tc>
          <w:tcPr>
            <w:tcW w:w="379"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 w:val="24"/>
              </w:rPr>
            </w:pPr>
            <w:r>
              <w:rPr>
                <w:rFonts w:ascii="宋体" w:hAnsi="宋体" w:cs="宋体"/>
                <w:kern w:val="0"/>
                <w:sz w:val="24"/>
              </w:rPr>
              <w:t>10</w:t>
            </w:r>
            <w:r>
              <w:rPr>
                <w:rFonts w:hint="eastAsia" w:ascii="宋体" w:hAnsi="宋体" w:cs="宋体"/>
                <w:kern w:val="0"/>
                <w:sz w:val="24"/>
              </w:rPr>
              <w:t>分</w:t>
            </w:r>
          </w:p>
        </w:tc>
        <w:tc>
          <w:tcPr>
            <w:tcW w:w="3335" w:type="pct"/>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4"/>
              </w:rPr>
            </w:pPr>
            <w:r>
              <w:rPr>
                <w:rFonts w:hint="eastAsia" w:ascii="宋体" w:hAnsi="宋体" w:cs="宋体"/>
                <w:sz w:val="24"/>
              </w:rPr>
              <w:t>对工程要点进行分析，对国家及地方强制性技术标准的执行进行说明，对项目的特点、难点、重点进行技术经济分析和提出处理措施，阐述关键技术问题的对策措施。</w:t>
            </w:r>
            <w:r>
              <w:rPr>
                <w:rFonts w:hint="eastAsia" w:ascii="宋体" w:hAnsi="宋体" w:cs="宋体"/>
                <w:sz w:val="24"/>
              </w:rPr>
              <w:br w:type="textWrapping"/>
            </w:r>
            <w:r>
              <w:rPr>
                <w:rFonts w:hint="eastAsia" w:ascii="宋体" w:hAnsi="宋体" w:cs="宋体"/>
                <w:b/>
                <w:bCs/>
                <w:sz w:val="24"/>
              </w:rPr>
              <w:t>优秀：</w:t>
            </w:r>
            <w:r>
              <w:rPr>
                <w:rFonts w:ascii="宋体" w:hAnsi="宋体" w:cs="宋体"/>
                <w:b/>
                <w:bCs/>
                <w:sz w:val="24"/>
              </w:rPr>
              <w:t>7</w:t>
            </w:r>
            <w:r>
              <w:rPr>
                <w:rFonts w:hint="eastAsia" w:ascii="宋体" w:hAnsi="宋体" w:cs="宋体"/>
                <w:b/>
                <w:bCs/>
                <w:sz w:val="24"/>
              </w:rPr>
              <w:t>分&lt;F≤</w:t>
            </w:r>
            <w:r>
              <w:rPr>
                <w:rFonts w:ascii="宋体" w:hAnsi="宋体" w:cs="宋体"/>
                <w:b/>
                <w:bCs/>
                <w:sz w:val="24"/>
              </w:rPr>
              <w:t>10</w:t>
            </w:r>
            <w:r>
              <w:rPr>
                <w:rFonts w:hint="eastAsia" w:ascii="宋体" w:hAnsi="宋体" w:cs="宋体"/>
                <w:b/>
                <w:bCs/>
                <w:sz w:val="24"/>
              </w:rPr>
              <w:t>分、良好：</w:t>
            </w:r>
            <w:r>
              <w:rPr>
                <w:rFonts w:ascii="宋体" w:hAnsi="宋体" w:cs="宋体"/>
                <w:b/>
                <w:bCs/>
                <w:sz w:val="24"/>
              </w:rPr>
              <w:t>3</w:t>
            </w:r>
            <w:r>
              <w:rPr>
                <w:rFonts w:hint="eastAsia" w:ascii="宋体" w:hAnsi="宋体" w:cs="宋体"/>
                <w:b/>
                <w:bCs/>
                <w:sz w:val="24"/>
              </w:rPr>
              <w:t>分&lt;F≤</w:t>
            </w:r>
            <w:r>
              <w:rPr>
                <w:rFonts w:ascii="宋体" w:hAnsi="宋体" w:cs="宋体"/>
                <w:b/>
                <w:bCs/>
                <w:sz w:val="24"/>
              </w:rPr>
              <w:t>7</w:t>
            </w:r>
            <w:r>
              <w:rPr>
                <w:rFonts w:hint="eastAsia" w:ascii="宋体" w:hAnsi="宋体" w:cs="宋体"/>
                <w:b/>
                <w:bCs/>
                <w:sz w:val="24"/>
              </w:rPr>
              <w:t>分、一般：1分≤F≤</w:t>
            </w:r>
            <w:r>
              <w:rPr>
                <w:rFonts w:ascii="宋体" w:hAnsi="宋体" w:cs="宋体"/>
                <w:b/>
                <w:bCs/>
                <w:sz w:val="24"/>
              </w:rPr>
              <w:t>3</w:t>
            </w:r>
            <w:r>
              <w:rPr>
                <w:rFonts w:hint="eastAsia" w:ascii="宋体" w:hAnsi="宋体" w:cs="宋体"/>
                <w:b/>
                <w:bCs/>
                <w:sz w:val="24"/>
              </w:rPr>
              <w:t>分，没有不得分。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452" w:type="pct"/>
            <w:vMerge w:val="continue"/>
            <w:tcBorders>
              <w:right w:val="single" w:color="auto" w:sz="4" w:space="0"/>
            </w:tcBorders>
            <w:vAlign w:val="center"/>
          </w:tcPr>
          <w:p>
            <w:pPr>
              <w:spacing w:line="440" w:lineRule="exact"/>
              <w:jc w:val="center"/>
              <w:rPr>
                <w:rFonts w:ascii="宋体" w:hAnsi="宋体" w:cs="宋体"/>
                <w:sz w:val="24"/>
              </w:rPr>
            </w:pPr>
          </w:p>
        </w:tc>
        <w:tc>
          <w:tcPr>
            <w:tcW w:w="834"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 w:val="24"/>
              </w:rPr>
            </w:pPr>
            <w:r>
              <w:rPr>
                <w:rFonts w:hint="eastAsia" w:ascii="宋体" w:hAnsi="宋体" w:cs="宋体"/>
                <w:sz w:val="24"/>
              </w:rPr>
              <w:t>本地化服务方案</w:t>
            </w:r>
          </w:p>
        </w:tc>
        <w:tc>
          <w:tcPr>
            <w:tcW w:w="379"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kern w:val="0"/>
                <w:sz w:val="24"/>
              </w:rPr>
            </w:pPr>
            <w:r>
              <w:rPr>
                <w:rFonts w:hint="eastAsia" w:ascii="宋体" w:hAnsi="宋体" w:cs="宋体"/>
                <w:kern w:val="0"/>
                <w:sz w:val="24"/>
              </w:rPr>
              <w:t>1</w:t>
            </w:r>
            <w:r>
              <w:rPr>
                <w:rFonts w:ascii="宋体" w:hAnsi="宋体" w:cs="宋体"/>
                <w:kern w:val="0"/>
                <w:sz w:val="24"/>
              </w:rPr>
              <w:t>0</w:t>
            </w:r>
            <w:r>
              <w:rPr>
                <w:rFonts w:hint="eastAsia" w:ascii="宋体" w:hAnsi="宋体" w:cs="宋体"/>
                <w:kern w:val="0"/>
                <w:sz w:val="24"/>
              </w:rPr>
              <w:t>分</w:t>
            </w:r>
          </w:p>
        </w:tc>
        <w:tc>
          <w:tcPr>
            <w:tcW w:w="3335" w:type="pct"/>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kern w:val="0"/>
                <w:sz w:val="24"/>
              </w:rPr>
            </w:pPr>
            <w:r>
              <w:rPr>
                <w:rFonts w:hint="eastAsia" w:ascii="宋体" w:hAnsi="宋体" w:cs="宋体"/>
                <w:kern w:val="0"/>
                <w:sz w:val="24"/>
              </w:rPr>
              <w:t>投标人根据自身情况为本项目所能提供及时响应的本地化服务方案进行评审。</w:t>
            </w:r>
          </w:p>
          <w:p>
            <w:pPr>
              <w:widowControl/>
              <w:spacing w:line="360" w:lineRule="auto"/>
              <w:jc w:val="left"/>
              <w:rPr>
                <w:rFonts w:ascii="宋体" w:hAnsi="宋体" w:cs="宋体"/>
                <w:b/>
                <w:bCs/>
                <w:kern w:val="0"/>
                <w:sz w:val="24"/>
              </w:rPr>
            </w:pPr>
            <w:r>
              <w:rPr>
                <w:rFonts w:hint="eastAsia" w:ascii="宋体" w:hAnsi="宋体" w:cs="宋体"/>
                <w:b/>
                <w:bCs/>
                <w:sz w:val="24"/>
              </w:rPr>
              <w:t>优秀：</w:t>
            </w:r>
            <w:r>
              <w:rPr>
                <w:rFonts w:ascii="宋体" w:hAnsi="宋体" w:cs="宋体"/>
                <w:b/>
                <w:bCs/>
                <w:sz w:val="24"/>
              </w:rPr>
              <w:t>7</w:t>
            </w:r>
            <w:r>
              <w:rPr>
                <w:rFonts w:hint="eastAsia" w:ascii="宋体" w:hAnsi="宋体" w:cs="宋体"/>
                <w:b/>
                <w:bCs/>
                <w:sz w:val="24"/>
              </w:rPr>
              <w:t>分&lt;F≤</w:t>
            </w:r>
            <w:r>
              <w:rPr>
                <w:rFonts w:ascii="宋体" w:hAnsi="宋体" w:cs="宋体"/>
                <w:b/>
                <w:bCs/>
                <w:sz w:val="24"/>
              </w:rPr>
              <w:t>10</w:t>
            </w:r>
            <w:r>
              <w:rPr>
                <w:rFonts w:hint="eastAsia" w:ascii="宋体" w:hAnsi="宋体" w:cs="宋体"/>
                <w:b/>
                <w:bCs/>
                <w:sz w:val="24"/>
              </w:rPr>
              <w:t>分、良好：</w:t>
            </w:r>
            <w:r>
              <w:rPr>
                <w:rFonts w:ascii="宋体" w:hAnsi="宋体" w:cs="宋体"/>
                <w:b/>
                <w:bCs/>
                <w:sz w:val="24"/>
              </w:rPr>
              <w:t>3</w:t>
            </w:r>
            <w:r>
              <w:rPr>
                <w:rFonts w:hint="eastAsia" w:ascii="宋体" w:hAnsi="宋体" w:cs="宋体"/>
                <w:b/>
                <w:bCs/>
                <w:sz w:val="24"/>
              </w:rPr>
              <w:t>分&lt;F≤</w:t>
            </w:r>
            <w:r>
              <w:rPr>
                <w:rFonts w:ascii="宋体" w:hAnsi="宋体" w:cs="宋体"/>
                <w:b/>
                <w:bCs/>
                <w:sz w:val="24"/>
              </w:rPr>
              <w:t>7</w:t>
            </w:r>
            <w:r>
              <w:rPr>
                <w:rFonts w:hint="eastAsia" w:ascii="宋体" w:hAnsi="宋体" w:cs="宋体"/>
                <w:b/>
                <w:bCs/>
                <w:sz w:val="24"/>
              </w:rPr>
              <w:t>分、一般：1分≤F≤</w:t>
            </w:r>
            <w:r>
              <w:rPr>
                <w:rFonts w:ascii="宋体" w:hAnsi="宋体" w:cs="宋体"/>
                <w:b/>
                <w:bCs/>
                <w:sz w:val="24"/>
              </w:rPr>
              <w:t>3</w:t>
            </w:r>
            <w:r>
              <w:rPr>
                <w:rFonts w:hint="eastAsia" w:ascii="宋体" w:hAnsi="宋体" w:cs="宋体"/>
                <w:b/>
                <w:bCs/>
                <w:sz w:val="24"/>
              </w:rPr>
              <w:t>分，没有不得分。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452" w:type="pct"/>
            <w:vMerge w:val="continue"/>
            <w:tcBorders>
              <w:right w:val="single" w:color="auto" w:sz="4" w:space="0"/>
            </w:tcBorders>
            <w:vAlign w:val="center"/>
          </w:tcPr>
          <w:p>
            <w:pPr>
              <w:spacing w:line="440" w:lineRule="exact"/>
              <w:jc w:val="center"/>
              <w:rPr>
                <w:rFonts w:ascii="宋体" w:hAnsi="宋体" w:cs="宋体"/>
                <w:sz w:val="24"/>
              </w:rPr>
            </w:pPr>
          </w:p>
        </w:tc>
        <w:tc>
          <w:tcPr>
            <w:tcW w:w="834"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 w:val="24"/>
              </w:rPr>
            </w:pPr>
            <w:r>
              <w:rPr>
                <w:rFonts w:hint="eastAsia" w:ascii="宋体" w:hAnsi="宋体" w:cs="宋体"/>
                <w:sz w:val="24"/>
              </w:rPr>
              <w:t>工程投资控制及保证措施</w:t>
            </w:r>
          </w:p>
        </w:tc>
        <w:tc>
          <w:tcPr>
            <w:tcW w:w="379"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 w:val="24"/>
              </w:rPr>
            </w:pPr>
            <w:r>
              <w:rPr>
                <w:rFonts w:ascii="宋体" w:hAnsi="宋体" w:cs="宋体"/>
                <w:kern w:val="0"/>
                <w:sz w:val="24"/>
              </w:rPr>
              <w:t>5</w:t>
            </w:r>
            <w:r>
              <w:rPr>
                <w:rFonts w:hint="eastAsia" w:ascii="宋体" w:hAnsi="宋体" w:cs="宋体"/>
                <w:kern w:val="0"/>
                <w:sz w:val="24"/>
              </w:rPr>
              <w:t>分</w:t>
            </w:r>
          </w:p>
        </w:tc>
        <w:tc>
          <w:tcPr>
            <w:tcW w:w="3335"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sz w:val="24"/>
              </w:rPr>
            </w:pPr>
            <w:r>
              <w:rPr>
                <w:rFonts w:hint="eastAsia" w:ascii="宋体" w:hAnsi="宋体" w:cs="宋体"/>
                <w:sz w:val="24"/>
              </w:rPr>
              <w:t>1.有投资目标承诺，且处罚措施严厉者得</w:t>
            </w:r>
            <w:r>
              <w:rPr>
                <w:rFonts w:ascii="宋体" w:hAnsi="宋体" w:cs="宋体"/>
                <w:sz w:val="24"/>
              </w:rPr>
              <w:t>2</w:t>
            </w:r>
            <w:r>
              <w:rPr>
                <w:rFonts w:hint="eastAsia" w:ascii="宋体" w:hAnsi="宋体" w:cs="宋体"/>
                <w:sz w:val="24"/>
              </w:rPr>
              <w:t>分，有投资目标承诺，处罚措施一般者得</w:t>
            </w:r>
            <w:r>
              <w:rPr>
                <w:rFonts w:ascii="宋体" w:hAnsi="宋体" w:cs="宋体"/>
                <w:sz w:val="24"/>
              </w:rPr>
              <w:t>1</w:t>
            </w:r>
            <w:r>
              <w:rPr>
                <w:rFonts w:hint="eastAsia" w:ascii="宋体" w:hAnsi="宋体" w:cs="宋体"/>
                <w:sz w:val="24"/>
              </w:rPr>
              <w:t>分</w:t>
            </w:r>
            <w:r>
              <w:rPr>
                <w:rFonts w:hint="eastAsia" w:ascii="宋体" w:hAnsi="宋体" w:cs="宋体"/>
                <w:sz w:val="24"/>
                <w:lang w:eastAsia="zh-CN"/>
              </w:rPr>
              <w:t>，</w:t>
            </w:r>
            <w:r>
              <w:rPr>
                <w:rFonts w:hint="eastAsia" w:ascii="宋体" w:hAnsi="宋体" w:cs="宋体"/>
                <w:sz w:val="24"/>
              </w:rPr>
              <w:t>没有不得分。</w:t>
            </w:r>
          </w:p>
          <w:p>
            <w:pPr>
              <w:spacing w:line="360" w:lineRule="auto"/>
              <w:rPr>
                <w:rFonts w:ascii="宋体" w:hAnsi="宋体" w:cs="宋体"/>
                <w:sz w:val="24"/>
              </w:rPr>
            </w:pPr>
            <w:r>
              <w:rPr>
                <w:rFonts w:hint="eastAsia" w:ascii="宋体" w:hAnsi="宋体" w:cs="宋体"/>
                <w:sz w:val="24"/>
              </w:rPr>
              <w:t>2.工程投资控制及费用控制措施具体详细，可行性强、能有效控制工程投资、保证工程质量优秀者得</w:t>
            </w:r>
            <w:r>
              <w:rPr>
                <w:rFonts w:ascii="宋体" w:hAnsi="宋体" w:cs="宋体"/>
                <w:sz w:val="24"/>
              </w:rPr>
              <w:t>3</w:t>
            </w:r>
            <w:r>
              <w:rPr>
                <w:rFonts w:hint="eastAsia" w:ascii="宋体" w:hAnsi="宋体" w:cs="宋体"/>
                <w:sz w:val="24"/>
              </w:rPr>
              <w:t>分，较好者得</w:t>
            </w:r>
            <w:r>
              <w:rPr>
                <w:rFonts w:ascii="宋体" w:hAnsi="宋体" w:cs="宋体"/>
                <w:sz w:val="24"/>
              </w:rPr>
              <w:t>2</w:t>
            </w:r>
            <w:r>
              <w:rPr>
                <w:rFonts w:hint="eastAsia" w:ascii="宋体" w:hAnsi="宋体" w:cs="宋体"/>
                <w:sz w:val="24"/>
              </w:rPr>
              <w:t>分，一般者得</w:t>
            </w:r>
            <w:r>
              <w:rPr>
                <w:rFonts w:ascii="宋体" w:hAnsi="宋体" w:cs="宋体"/>
                <w:sz w:val="24"/>
              </w:rPr>
              <w:t>1</w:t>
            </w:r>
            <w:r>
              <w:rPr>
                <w:rFonts w:hint="eastAsia" w:ascii="宋体" w:hAnsi="宋体" w:cs="宋体"/>
                <w:sz w:val="24"/>
              </w:rPr>
              <w:t>分，没有不得分。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452" w:type="pct"/>
            <w:vMerge w:val="continue"/>
            <w:tcBorders>
              <w:right w:val="single" w:color="auto" w:sz="4" w:space="0"/>
            </w:tcBorders>
            <w:vAlign w:val="center"/>
          </w:tcPr>
          <w:p>
            <w:pPr>
              <w:spacing w:line="440" w:lineRule="exact"/>
              <w:jc w:val="center"/>
              <w:rPr>
                <w:rFonts w:ascii="宋体" w:hAnsi="宋体" w:cs="宋体"/>
                <w:sz w:val="24"/>
              </w:rPr>
            </w:pPr>
          </w:p>
        </w:tc>
        <w:tc>
          <w:tcPr>
            <w:tcW w:w="834"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 w:val="24"/>
              </w:rPr>
            </w:pPr>
            <w:r>
              <w:rPr>
                <w:rFonts w:hint="eastAsia" w:ascii="宋体" w:hAnsi="宋体" w:cs="宋体"/>
                <w:sz w:val="24"/>
              </w:rPr>
              <w:t>设计质量及保证措施</w:t>
            </w:r>
          </w:p>
        </w:tc>
        <w:tc>
          <w:tcPr>
            <w:tcW w:w="379"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 w:val="24"/>
              </w:rPr>
            </w:pPr>
            <w:r>
              <w:rPr>
                <w:rFonts w:ascii="宋体" w:hAnsi="宋体" w:cs="宋体"/>
                <w:kern w:val="0"/>
                <w:sz w:val="24"/>
              </w:rPr>
              <w:t>5</w:t>
            </w:r>
            <w:r>
              <w:rPr>
                <w:rFonts w:hint="eastAsia" w:ascii="宋体" w:hAnsi="宋体" w:cs="宋体"/>
                <w:kern w:val="0"/>
                <w:sz w:val="24"/>
              </w:rPr>
              <w:t>分</w:t>
            </w:r>
          </w:p>
        </w:tc>
        <w:tc>
          <w:tcPr>
            <w:tcW w:w="3335"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sz w:val="24"/>
              </w:rPr>
            </w:pPr>
            <w:r>
              <w:rPr>
                <w:rFonts w:hint="eastAsia" w:ascii="宋体" w:hAnsi="宋体" w:cs="宋体"/>
                <w:sz w:val="24"/>
              </w:rPr>
              <w:t>1.有质量目标承诺，且处罚措施严厉者得</w:t>
            </w:r>
            <w:r>
              <w:rPr>
                <w:rFonts w:ascii="宋体" w:hAnsi="宋体" w:cs="宋体"/>
                <w:sz w:val="24"/>
              </w:rPr>
              <w:t>2</w:t>
            </w:r>
            <w:r>
              <w:rPr>
                <w:rFonts w:hint="eastAsia" w:ascii="宋体" w:hAnsi="宋体" w:cs="宋体"/>
                <w:sz w:val="24"/>
              </w:rPr>
              <w:t>分，有质量目标承诺，处罚措施一般者得1分。没有不得分。</w:t>
            </w:r>
          </w:p>
          <w:p>
            <w:pPr>
              <w:spacing w:line="360" w:lineRule="auto"/>
              <w:rPr>
                <w:rFonts w:ascii="宋体" w:hAnsi="宋体" w:cs="宋体"/>
                <w:sz w:val="24"/>
              </w:rPr>
            </w:pPr>
            <w:r>
              <w:rPr>
                <w:rFonts w:hint="eastAsia" w:ascii="宋体" w:hAnsi="宋体" w:cs="宋体"/>
                <w:sz w:val="24"/>
              </w:rPr>
              <w:t>2.质量的保证措施具体详细，可行性强者得</w:t>
            </w:r>
            <w:r>
              <w:rPr>
                <w:rFonts w:ascii="宋体" w:hAnsi="宋体" w:cs="宋体"/>
                <w:sz w:val="24"/>
              </w:rPr>
              <w:t>3</w:t>
            </w:r>
            <w:r>
              <w:rPr>
                <w:rFonts w:hint="eastAsia" w:ascii="宋体" w:hAnsi="宋体" w:cs="宋体"/>
                <w:sz w:val="24"/>
              </w:rPr>
              <w:t>分，较好者得</w:t>
            </w:r>
            <w:r>
              <w:rPr>
                <w:rFonts w:ascii="宋体" w:hAnsi="宋体" w:cs="宋体"/>
                <w:sz w:val="24"/>
              </w:rPr>
              <w:t>2</w:t>
            </w:r>
            <w:r>
              <w:rPr>
                <w:rFonts w:hint="eastAsia" w:ascii="宋体" w:hAnsi="宋体" w:cs="宋体"/>
                <w:sz w:val="24"/>
              </w:rPr>
              <w:t>分，一般者得</w:t>
            </w:r>
            <w:r>
              <w:rPr>
                <w:rFonts w:ascii="宋体" w:hAnsi="宋体" w:cs="宋体"/>
                <w:sz w:val="24"/>
              </w:rPr>
              <w:t>1</w:t>
            </w:r>
            <w:r>
              <w:rPr>
                <w:rFonts w:hint="eastAsia" w:ascii="宋体" w:hAnsi="宋体" w:cs="宋体"/>
                <w:sz w:val="24"/>
              </w:rPr>
              <w:t>分</w:t>
            </w:r>
            <w:r>
              <w:rPr>
                <w:rFonts w:hint="eastAsia" w:ascii="宋体" w:hAnsi="宋体" w:cs="宋体"/>
                <w:sz w:val="24"/>
                <w:lang w:eastAsia="zh-CN"/>
              </w:rPr>
              <w:t>，</w:t>
            </w:r>
            <w:r>
              <w:rPr>
                <w:rFonts w:hint="eastAsia" w:ascii="宋体" w:hAnsi="宋体" w:cs="宋体"/>
                <w:sz w:val="24"/>
              </w:rPr>
              <w:t>没有不得分。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452" w:type="pct"/>
            <w:vMerge w:val="continue"/>
            <w:tcBorders>
              <w:right w:val="single" w:color="auto" w:sz="4" w:space="0"/>
            </w:tcBorders>
            <w:vAlign w:val="center"/>
          </w:tcPr>
          <w:p>
            <w:pPr>
              <w:spacing w:line="440" w:lineRule="exact"/>
              <w:jc w:val="center"/>
              <w:rPr>
                <w:rFonts w:ascii="宋体" w:hAnsi="宋体" w:cs="宋体"/>
                <w:sz w:val="24"/>
              </w:rPr>
            </w:pPr>
          </w:p>
        </w:tc>
        <w:tc>
          <w:tcPr>
            <w:tcW w:w="834"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 w:val="24"/>
              </w:rPr>
            </w:pPr>
            <w:r>
              <w:rPr>
                <w:rFonts w:ascii="宋体" w:hAnsi="宋体" w:cs="宋体"/>
                <w:sz w:val="24"/>
              </w:rPr>
              <w:t>设计进度计划及保证措施</w:t>
            </w:r>
          </w:p>
        </w:tc>
        <w:tc>
          <w:tcPr>
            <w:tcW w:w="379"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 w:val="24"/>
              </w:rPr>
            </w:pPr>
            <w:r>
              <w:rPr>
                <w:rFonts w:ascii="宋体" w:hAnsi="宋体" w:cs="宋体"/>
                <w:kern w:val="0"/>
                <w:sz w:val="24"/>
              </w:rPr>
              <w:t>5</w:t>
            </w:r>
            <w:r>
              <w:rPr>
                <w:rFonts w:hint="eastAsia" w:ascii="宋体" w:hAnsi="宋体" w:cs="宋体"/>
                <w:kern w:val="0"/>
                <w:sz w:val="24"/>
              </w:rPr>
              <w:t>分</w:t>
            </w:r>
          </w:p>
        </w:tc>
        <w:tc>
          <w:tcPr>
            <w:tcW w:w="3335" w:type="pct"/>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4"/>
              </w:rPr>
            </w:pPr>
            <w:r>
              <w:rPr>
                <w:rFonts w:hint="eastAsia" w:ascii="宋体" w:hAnsi="宋体" w:cs="宋体"/>
                <w:sz w:val="24"/>
              </w:rPr>
              <w:t>1.有进度计划目标承诺，且处罚措施严厉者得</w:t>
            </w:r>
            <w:r>
              <w:rPr>
                <w:rFonts w:ascii="宋体" w:hAnsi="宋体" w:cs="宋体"/>
                <w:sz w:val="24"/>
              </w:rPr>
              <w:t>2</w:t>
            </w:r>
            <w:r>
              <w:rPr>
                <w:rFonts w:hint="eastAsia" w:ascii="宋体" w:hAnsi="宋体" w:cs="宋体"/>
                <w:sz w:val="24"/>
              </w:rPr>
              <w:t>分，有进度计划目标承诺，处罚措施一般者得</w:t>
            </w:r>
            <w:r>
              <w:rPr>
                <w:rFonts w:ascii="宋体" w:hAnsi="宋体" w:cs="宋体"/>
                <w:sz w:val="24"/>
              </w:rPr>
              <w:t>1</w:t>
            </w:r>
            <w:r>
              <w:rPr>
                <w:rFonts w:hint="eastAsia" w:ascii="宋体" w:hAnsi="宋体" w:cs="宋体"/>
                <w:sz w:val="24"/>
              </w:rPr>
              <w:t>分。没有不得分。</w:t>
            </w:r>
            <w:r>
              <w:rPr>
                <w:rFonts w:hint="eastAsia" w:ascii="宋体" w:hAnsi="宋体" w:cs="宋体"/>
                <w:sz w:val="24"/>
              </w:rPr>
              <w:br w:type="textWrapping"/>
            </w:r>
            <w:r>
              <w:rPr>
                <w:rFonts w:hint="eastAsia" w:ascii="宋体" w:hAnsi="宋体" w:cs="宋体"/>
                <w:sz w:val="24"/>
              </w:rPr>
              <w:t>2.进度计划的保证措施具体详细，可行性强者得</w:t>
            </w:r>
            <w:r>
              <w:rPr>
                <w:rFonts w:ascii="宋体" w:hAnsi="宋体" w:cs="宋体"/>
                <w:sz w:val="24"/>
              </w:rPr>
              <w:t>3</w:t>
            </w:r>
            <w:r>
              <w:rPr>
                <w:rFonts w:hint="eastAsia" w:ascii="宋体" w:hAnsi="宋体" w:cs="宋体"/>
                <w:sz w:val="24"/>
              </w:rPr>
              <w:t>分，较好者得</w:t>
            </w:r>
            <w:r>
              <w:rPr>
                <w:rFonts w:ascii="宋体" w:hAnsi="宋体" w:cs="宋体"/>
                <w:sz w:val="24"/>
              </w:rPr>
              <w:t>2</w:t>
            </w:r>
            <w:r>
              <w:rPr>
                <w:rFonts w:hint="eastAsia" w:ascii="宋体" w:hAnsi="宋体" w:cs="宋体"/>
                <w:sz w:val="24"/>
              </w:rPr>
              <w:t>分，一般者得</w:t>
            </w:r>
            <w:r>
              <w:rPr>
                <w:rFonts w:ascii="宋体" w:hAnsi="宋体" w:cs="宋体"/>
                <w:sz w:val="24"/>
              </w:rPr>
              <w:t>1</w:t>
            </w:r>
            <w:r>
              <w:rPr>
                <w:rFonts w:hint="eastAsia" w:ascii="宋体" w:hAnsi="宋体" w:cs="宋体"/>
                <w:sz w:val="24"/>
              </w:rPr>
              <w:t>分</w:t>
            </w:r>
            <w:r>
              <w:rPr>
                <w:rFonts w:hint="eastAsia" w:ascii="宋体" w:hAnsi="宋体" w:cs="宋体"/>
                <w:sz w:val="24"/>
                <w:lang w:eastAsia="zh-CN"/>
              </w:rPr>
              <w:t>，</w:t>
            </w:r>
            <w:r>
              <w:rPr>
                <w:rFonts w:hint="eastAsia" w:ascii="宋体" w:hAnsi="宋体" w:cs="宋体"/>
                <w:sz w:val="24"/>
              </w:rPr>
              <w:t>没有不得分。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452" w:type="pct"/>
            <w:vMerge w:val="continue"/>
            <w:tcBorders>
              <w:right w:val="single" w:color="auto" w:sz="4" w:space="0"/>
            </w:tcBorders>
            <w:vAlign w:val="center"/>
          </w:tcPr>
          <w:p>
            <w:pPr>
              <w:spacing w:line="440" w:lineRule="exact"/>
              <w:jc w:val="center"/>
              <w:rPr>
                <w:rFonts w:ascii="宋体" w:hAnsi="宋体" w:cs="宋体"/>
                <w:sz w:val="24"/>
              </w:rPr>
            </w:pPr>
          </w:p>
        </w:tc>
        <w:tc>
          <w:tcPr>
            <w:tcW w:w="834"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 w:val="24"/>
              </w:rPr>
            </w:pPr>
            <w:r>
              <w:rPr>
                <w:rFonts w:ascii="宋体" w:hAnsi="宋体" w:cs="宋体"/>
                <w:sz w:val="24"/>
              </w:rPr>
              <w:t>多专业组织协调与相关建设单位配合的方法和措施</w:t>
            </w:r>
          </w:p>
        </w:tc>
        <w:tc>
          <w:tcPr>
            <w:tcW w:w="379"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 w:val="24"/>
              </w:rPr>
            </w:pPr>
            <w:r>
              <w:rPr>
                <w:rFonts w:ascii="宋体" w:hAnsi="宋体" w:cs="宋体"/>
                <w:kern w:val="0"/>
                <w:sz w:val="24"/>
              </w:rPr>
              <w:t>3</w:t>
            </w:r>
            <w:r>
              <w:rPr>
                <w:rFonts w:hint="eastAsia" w:ascii="宋体" w:hAnsi="宋体" w:cs="宋体"/>
                <w:kern w:val="0"/>
                <w:sz w:val="24"/>
              </w:rPr>
              <w:t>分</w:t>
            </w:r>
          </w:p>
        </w:tc>
        <w:tc>
          <w:tcPr>
            <w:tcW w:w="3335" w:type="pct"/>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4"/>
              </w:rPr>
            </w:pPr>
            <w:r>
              <w:rPr>
                <w:rFonts w:hint="eastAsia" w:ascii="宋体" w:hAnsi="宋体" w:cs="宋体"/>
                <w:sz w:val="24"/>
              </w:rPr>
              <w:t>多专业组织协调与相关建设单位配合的方法和措施具体，可行性强者得</w:t>
            </w:r>
            <w:r>
              <w:rPr>
                <w:rFonts w:ascii="宋体" w:hAnsi="宋体" w:cs="宋体"/>
                <w:sz w:val="24"/>
              </w:rPr>
              <w:t>1</w:t>
            </w:r>
            <w:r>
              <w:rPr>
                <w:rFonts w:hint="eastAsia" w:ascii="宋体" w:hAnsi="宋体" w:cs="宋体"/>
                <w:sz w:val="24"/>
              </w:rPr>
              <w:t>分≤F≤</w:t>
            </w:r>
            <w:r>
              <w:rPr>
                <w:rFonts w:ascii="宋体" w:hAnsi="宋体" w:cs="宋体"/>
                <w:sz w:val="24"/>
              </w:rPr>
              <w:t>3</w:t>
            </w:r>
            <w:r>
              <w:rPr>
                <w:rFonts w:hint="eastAsia" w:ascii="宋体" w:hAnsi="宋体" w:cs="宋体"/>
                <w:sz w:val="24"/>
              </w:rPr>
              <w:t>分</w:t>
            </w:r>
            <w:r>
              <w:rPr>
                <w:rFonts w:hint="eastAsia" w:ascii="宋体" w:hAnsi="宋体" w:cs="宋体"/>
                <w:sz w:val="24"/>
                <w:lang w:eastAsia="zh-CN"/>
              </w:rPr>
              <w:t>，</w:t>
            </w:r>
            <w:r>
              <w:rPr>
                <w:rFonts w:hint="eastAsia" w:ascii="宋体" w:hAnsi="宋体" w:cs="宋体"/>
                <w:sz w:val="24"/>
              </w:rPr>
              <w:t>没有不得分。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452" w:type="pct"/>
            <w:vMerge w:val="continue"/>
            <w:tcBorders>
              <w:right w:val="single" w:color="auto" w:sz="4" w:space="0"/>
            </w:tcBorders>
            <w:vAlign w:val="center"/>
          </w:tcPr>
          <w:p>
            <w:pPr>
              <w:spacing w:line="440" w:lineRule="exact"/>
              <w:jc w:val="center"/>
              <w:rPr>
                <w:rFonts w:ascii="宋体" w:hAnsi="宋体" w:cs="宋体"/>
                <w:sz w:val="24"/>
              </w:rPr>
            </w:pPr>
          </w:p>
        </w:tc>
        <w:tc>
          <w:tcPr>
            <w:tcW w:w="834"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 w:val="24"/>
              </w:rPr>
            </w:pPr>
            <w:r>
              <w:rPr>
                <w:rFonts w:ascii="宋体" w:hAnsi="宋体" w:cs="宋体"/>
                <w:sz w:val="24"/>
              </w:rPr>
              <w:t>提供优质服务的保证措施</w:t>
            </w:r>
          </w:p>
        </w:tc>
        <w:tc>
          <w:tcPr>
            <w:tcW w:w="379"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kern w:val="0"/>
                <w:sz w:val="24"/>
              </w:rPr>
            </w:pPr>
            <w:r>
              <w:rPr>
                <w:rFonts w:ascii="宋体" w:hAnsi="宋体" w:cs="宋体"/>
                <w:kern w:val="0"/>
                <w:sz w:val="24"/>
              </w:rPr>
              <w:t>1</w:t>
            </w:r>
            <w:r>
              <w:rPr>
                <w:rFonts w:hint="eastAsia" w:ascii="宋体" w:hAnsi="宋体" w:cs="宋体"/>
                <w:kern w:val="0"/>
                <w:sz w:val="24"/>
              </w:rPr>
              <w:t>分</w:t>
            </w:r>
          </w:p>
        </w:tc>
        <w:tc>
          <w:tcPr>
            <w:tcW w:w="3335" w:type="pct"/>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4"/>
              </w:rPr>
            </w:pPr>
            <w:r>
              <w:rPr>
                <w:rFonts w:hint="eastAsia" w:ascii="宋体" w:hAnsi="宋体" w:cs="宋体"/>
                <w:sz w:val="24"/>
              </w:rPr>
              <w:t>投标人承诺在设计服务期限内提供优质服务且48小时随时响应的得</w:t>
            </w:r>
            <w:r>
              <w:rPr>
                <w:rFonts w:ascii="宋体" w:hAnsi="宋体" w:cs="宋体"/>
                <w:sz w:val="24"/>
              </w:rPr>
              <w:t>1</w:t>
            </w:r>
            <w:r>
              <w:rPr>
                <w:rFonts w:hint="eastAsia" w:ascii="宋体" w:hAnsi="宋体" w:cs="宋体"/>
                <w:sz w:val="24"/>
              </w:rPr>
              <w:t>分，其他得0分。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452" w:type="pct"/>
            <w:vMerge w:val="continue"/>
            <w:tcBorders>
              <w:bottom w:val="single" w:color="auto" w:sz="4" w:space="0"/>
              <w:right w:val="single" w:color="auto" w:sz="4" w:space="0"/>
            </w:tcBorders>
            <w:vAlign w:val="center"/>
          </w:tcPr>
          <w:p>
            <w:pPr>
              <w:spacing w:line="440" w:lineRule="exact"/>
              <w:jc w:val="center"/>
              <w:rPr>
                <w:rFonts w:ascii="宋体" w:hAnsi="宋体" w:cs="宋体"/>
                <w:sz w:val="24"/>
              </w:rPr>
            </w:pPr>
          </w:p>
        </w:tc>
        <w:tc>
          <w:tcPr>
            <w:tcW w:w="834"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 w:val="24"/>
              </w:rPr>
            </w:pPr>
            <w:r>
              <w:rPr>
                <w:rFonts w:ascii="宋体" w:hAnsi="宋体" w:cs="宋体"/>
                <w:sz w:val="24"/>
              </w:rPr>
              <w:t>对本工程提出的合理化建议</w:t>
            </w:r>
          </w:p>
        </w:tc>
        <w:tc>
          <w:tcPr>
            <w:tcW w:w="379"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kern w:val="0"/>
                <w:sz w:val="24"/>
              </w:rPr>
            </w:pPr>
            <w:r>
              <w:rPr>
                <w:rFonts w:ascii="宋体" w:hAnsi="宋体" w:cs="宋体"/>
                <w:kern w:val="0"/>
                <w:sz w:val="24"/>
              </w:rPr>
              <w:t>3</w:t>
            </w:r>
            <w:r>
              <w:rPr>
                <w:rFonts w:hint="eastAsia" w:ascii="宋体" w:hAnsi="宋体" w:cs="宋体"/>
                <w:kern w:val="0"/>
                <w:sz w:val="24"/>
              </w:rPr>
              <w:t>分</w:t>
            </w:r>
          </w:p>
        </w:tc>
        <w:tc>
          <w:tcPr>
            <w:tcW w:w="3335" w:type="pct"/>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4"/>
              </w:rPr>
            </w:pPr>
            <w:r>
              <w:rPr>
                <w:rFonts w:hint="eastAsia" w:ascii="宋体" w:hAnsi="宋体" w:cs="宋体"/>
                <w:sz w:val="24"/>
              </w:rPr>
              <w:t>结合本项目的建设特点提出合理化建议，合理化建议全面可行、有针对性，服务及其他优惠条件承诺具体明确，有实质性内容，优秀</w:t>
            </w:r>
            <w:bookmarkStart w:id="1" w:name="_GoBack"/>
            <w:bookmarkEnd w:id="1"/>
            <w:r>
              <w:rPr>
                <w:rFonts w:hint="eastAsia" w:ascii="宋体" w:hAnsi="宋体" w:cs="宋体"/>
                <w:sz w:val="24"/>
              </w:rPr>
              <w:t>者得</w:t>
            </w:r>
            <w:r>
              <w:rPr>
                <w:rFonts w:ascii="宋体" w:hAnsi="宋体" w:cs="宋体"/>
                <w:sz w:val="24"/>
              </w:rPr>
              <w:t>3</w:t>
            </w:r>
            <w:r>
              <w:rPr>
                <w:rFonts w:hint="eastAsia" w:ascii="宋体" w:hAnsi="宋体" w:cs="宋体"/>
                <w:sz w:val="24"/>
              </w:rPr>
              <w:t>分，较好者得</w:t>
            </w:r>
            <w:r>
              <w:rPr>
                <w:rFonts w:ascii="宋体" w:hAnsi="宋体" w:cs="宋体"/>
                <w:sz w:val="24"/>
              </w:rPr>
              <w:t>2</w:t>
            </w:r>
            <w:r>
              <w:rPr>
                <w:rFonts w:hint="eastAsia" w:ascii="宋体" w:hAnsi="宋体" w:cs="宋体"/>
                <w:sz w:val="24"/>
              </w:rPr>
              <w:t>分，一般者得</w:t>
            </w:r>
            <w:r>
              <w:rPr>
                <w:rFonts w:ascii="宋体" w:hAnsi="宋体" w:cs="宋体"/>
                <w:sz w:val="24"/>
              </w:rPr>
              <w:t>1</w:t>
            </w:r>
            <w:r>
              <w:rPr>
                <w:rFonts w:hint="eastAsia" w:ascii="宋体" w:hAnsi="宋体" w:cs="宋体"/>
                <w:sz w:val="24"/>
              </w:rPr>
              <w:t>分。没有不得分。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452" w:type="pct"/>
            <w:vMerge w:val="restart"/>
            <w:tcBorders>
              <w:top w:val="single" w:color="auto" w:sz="4" w:space="0"/>
              <w:right w:val="single" w:color="auto" w:sz="4" w:space="0"/>
            </w:tcBorders>
            <w:vAlign w:val="center"/>
          </w:tcPr>
          <w:p>
            <w:pPr>
              <w:spacing w:line="440" w:lineRule="exact"/>
              <w:jc w:val="center"/>
              <w:rPr>
                <w:rFonts w:ascii="宋体" w:hAnsi="宋体" w:cs="宋体"/>
                <w:sz w:val="24"/>
              </w:rPr>
            </w:pPr>
            <w:r>
              <w:rPr>
                <w:rFonts w:hint="eastAsia" w:ascii="宋体" w:hAnsi="宋体" w:cs="宋体"/>
                <w:sz w:val="24"/>
              </w:rPr>
              <w:t>商务文件评分标准</w:t>
            </w:r>
          </w:p>
        </w:tc>
        <w:tc>
          <w:tcPr>
            <w:tcW w:w="834"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 w:val="24"/>
              </w:rPr>
            </w:pPr>
            <w:r>
              <w:rPr>
                <w:rFonts w:hint="eastAsia" w:ascii="宋体" w:hAnsi="宋体" w:cs="宋体"/>
                <w:sz w:val="24"/>
              </w:rPr>
              <w:t>企业认证</w:t>
            </w:r>
          </w:p>
        </w:tc>
        <w:tc>
          <w:tcPr>
            <w:tcW w:w="379"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 w:val="24"/>
              </w:rPr>
            </w:pPr>
            <w:r>
              <w:rPr>
                <w:rFonts w:ascii="宋体" w:hAnsi="宋体" w:cs="宋体"/>
                <w:kern w:val="0"/>
                <w:sz w:val="24"/>
              </w:rPr>
              <w:t>3</w:t>
            </w:r>
            <w:r>
              <w:rPr>
                <w:rFonts w:hint="eastAsia" w:ascii="宋体" w:hAnsi="宋体" w:cs="宋体"/>
                <w:kern w:val="0"/>
                <w:sz w:val="24"/>
              </w:rPr>
              <w:t>分</w:t>
            </w:r>
          </w:p>
        </w:tc>
        <w:tc>
          <w:tcPr>
            <w:tcW w:w="3335"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sz w:val="24"/>
              </w:rPr>
            </w:pPr>
            <w:r>
              <w:rPr>
                <w:rFonts w:hint="eastAsia" w:ascii="宋体" w:hAnsi="宋体" w:cs="宋体"/>
                <w:sz w:val="24"/>
              </w:rPr>
              <w:t>投标人具有有效的IS09001质量管理体系认证证书、ISO14001环境管理体系认证证书、IS045001职业健康安全管理体系认证证书的每项得</w:t>
            </w:r>
            <w:r>
              <w:rPr>
                <w:rFonts w:ascii="宋体" w:hAnsi="宋体" w:cs="宋体"/>
                <w:sz w:val="24"/>
              </w:rPr>
              <w:t>1</w:t>
            </w:r>
            <w:r>
              <w:rPr>
                <w:rFonts w:hint="eastAsia" w:ascii="宋体" w:hAnsi="宋体" w:cs="宋体"/>
                <w:sz w:val="24"/>
              </w:rPr>
              <w:t>分，满分</w:t>
            </w:r>
            <w:r>
              <w:rPr>
                <w:rFonts w:ascii="宋体" w:hAnsi="宋体" w:cs="宋体"/>
                <w:sz w:val="24"/>
              </w:rPr>
              <w:t>3</w:t>
            </w:r>
            <w:r>
              <w:rPr>
                <w:rFonts w:hint="eastAsia" w:ascii="宋体" w:hAnsi="宋体" w:cs="宋体"/>
                <w:sz w:val="24"/>
              </w:rPr>
              <w:t>分。</w:t>
            </w:r>
          </w:p>
          <w:p>
            <w:pPr>
              <w:spacing w:line="360" w:lineRule="auto"/>
              <w:rPr>
                <w:rFonts w:ascii="宋体" w:hAnsi="宋体" w:cs="宋体"/>
                <w:b/>
                <w:bCs/>
                <w:sz w:val="24"/>
              </w:rPr>
            </w:pPr>
            <w:r>
              <w:rPr>
                <w:rFonts w:hint="eastAsia" w:ascii="宋体" w:hAnsi="宋体" w:cs="宋体"/>
                <w:b/>
                <w:bCs/>
                <w:sz w:val="24"/>
              </w:rPr>
              <w:t>备注：投标文件中须提供以上证书扫描件及全国认证认可信息公共服务平台证书信息查询截图，未提供不得分。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452" w:type="pct"/>
            <w:vMerge w:val="continue"/>
            <w:tcBorders>
              <w:right w:val="single" w:color="auto" w:sz="4" w:space="0"/>
            </w:tcBorders>
            <w:vAlign w:val="center"/>
          </w:tcPr>
          <w:p>
            <w:pPr>
              <w:spacing w:line="440" w:lineRule="exact"/>
              <w:jc w:val="center"/>
              <w:rPr>
                <w:rFonts w:ascii="宋体" w:hAnsi="宋体" w:cs="宋体"/>
                <w:sz w:val="24"/>
              </w:rPr>
            </w:pPr>
          </w:p>
        </w:tc>
        <w:tc>
          <w:tcPr>
            <w:tcW w:w="834"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 w:val="24"/>
              </w:rPr>
            </w:pPr>
            <w:r>
              <w:rPr>
                <w:rFonts w:hint="eastAsia" w:ascii="宋体" w:hAnsi="宋体" w:cs="宋体"/>
                <w:sz w:val="24"/>
              </w:rPr>
              <w:t>企业获奖</w:t>
            </w:r>
          </w:p>
        </w:tc>
        <w:tc>
          <w:tcPr>
            <w:tcW w:w="379"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kern w:val="0"/>
                <w:sz w:val="24"/>
              </w:rPr>
            </w:pPr>
            <w:r>
              <w:rPr>
                <w:rFonts w:ascii="宋体" w:hAnsi="宋体" w:cs="宋体"/>
                <w:kern w:val="0"/>
                <w:sz w:val="24"/>
              </w:rPr>
              <w:t>5</w:t>
            </w:r>
            <w:r>
              <w:rPr>
                <w:rFonts w:hint="eastAsia" w:ascii="宋体" w:hAnsi="宋体" w:cs="宋体"/>
                <w:kern w:val="0"/>
                <w:sz w:val="24"/>
              </w:rPr>
              <w:t>分</w:t>
            </w:r>
          </w:p>
        </w:tc>
        <w:tc>
          <w:tcPr>
            <w:tcW w:w="3335"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sz w:val="24"/>
              </w:rPr>
            </w:pPr>
            <w:r>
              <w:rPr>
                <w:rFonts w:hint="eastAsia" w:ascii="宋体" w:hAnsi="宋体" w:cs="宋体"/>
                <w:sz w:val="24"/>
              </w:rPr>
              <w:t>1.</w:t>
            </w:r>
            <w:r>
              <w:rPr>
                <w:rFonts w:ascii="宋体" w:hAnsi="宋体" w:cs="宋体"/>
                <w:sz w:val="24"/>
              </w:rPr>
              <w:t>投标人自2020年1月1日至投标截止</w:t>
            </w:r>
            <w:r>
              <w:rPr>
                <w:rFonts w:hint="eastAsia" w:ascii="宋体" w:hAnsi="宋体" w:cs="宋体"/>
                <w:sz w:val="24"/>
              </w:rPr>
              <w:t>时间</w:t>
            </w:r>
            <w:r>
              <w:rPr>
                <w:rFonts w:ascii="宋体" w:hAnsi="宋体" w:cs="宋体"/>
                <w:sz w:val="24"/>
              </w:rPr>
              <w:t>前，承担过的公共建筑工程项目获</w:t>
            </w:r>
            <w:r>
              <w:rPr>
                <w:rFonts w:hint="eastAsia" w:ascii="宋体" w:hAnsi="宋体" w:cs="宋体"/>
                <w:sz w:val="24"/>
              </w:rPr>
              <w:t>得国家级设计奖项的，每个得</w:t>
            </w:r>
            <w:r>
              <w:rPr>
                <w:rFonts w:ascii="宋体" w:hAnsi="宋体" w:cs="宋体"/>
                <w:sz w:val="24"/>
              </w:rPr>
              <w:t>2分</w:t>
            </w:r>
            <w:r>
              <w:rPr>
                <w:rFonts w:hint="eastAsia" w:ascii="宋体" w:hAnsi="宋体" w:cs="宋体"/>
                <w:sz w:val="24"/>
              </w:rPr>
              <w:t>，</w:t>
            </w:r>
            <w:r>
              <w:rPr>
                <w:rFonts w:ascii="宋体" w:hAnsi="宋体" w:cs="宋体"/>
                <w:sz w:val="24"/>
              </w:rPr>
              <w:t>获</w:t>
            </w:r>
            <w:r>
              <w:rPr>
                <w:rFonts w:hint="eastAsia" w:ascii="宋体" w:hAnsi="宋体" w:cs="宋体"/>
                <w:sz w:val="24"/>
              </w:rPr>
              <w:t>得省级设计奖项的，每个得</w:t>
            </w:r>
            <w:r>
              <w:rPr>
                <w:rFonts w:ascii="宋体" w:hAnsi="宋体" w:cs="宋体"/>
                <w:sz w:val="24"/>
              </w:rPr>
              <w:t>1分</w:t>
            </w:r>
            <w:r>
              <w:rPr>
                <w:rFonts w:hint="eastAsia" w:ascii="宋体" w:hAnsi="宋体" w:cs="宋体"/>
                <w:sz w:val="24"/>
              </w:rPr>
              <w:t>，</w:t>
            </w:r>
            <w:r>
              <w:rPr>
                <w:rFonts w:ascii="宋体" w:hAnsi="宋体" w:cs="宋体"/>
                <w:sz w:val="24"/>
              </w:rPr>
              <w:t>本项最多得4分</w:t>
            </w:r>
            <w:r>
              <w:rPr>
                <w:rFonts w:hint="eastAsia" w:ascii="宋体" w:hAnsi="宋体" w:cs="宋体"/>
                <w:sz w:val="24"/>
              </w:rPr>
              <w:t>。同一项目获得多个奖项只计最高奖项，不累计计分。</w:t>
            </w:r>
          </w:p>
          <w:p>
            <w:pPr>
              <w:spacing w:line="360" w:lineRule="auto"/>
              <w:rPr>
                <w:rFonts w:ascii="宋体" w:hAnsi="宋体" w:cs="宋体"/>
                <w:sz w:val="24"/>
              </w:rPr>
            </w:pPr>
            <w:r>
              <w:rPr>
                <w:rFonts w:hint="eastAsia" w:ascii="宋体" w:hAnsi="宋体" w:cs="宋体"/>
                <w:b/>
                <w:bCs/>
                <w:sz w:val="24"/>
              </w:rPr>
              <w:t>备注：</w:t>
            </w:r>
            <w:r>
              <w:rPr>
                <w:rFonts w:ascii="宋体" w:hAnsi="宋体" w:cs="宋体"/>
                <w:b/>
                <w:bCs/>
                <w:sz w:val="24"/>
              </w:rPr>
              <w:t>国家级设计奖项指由</w:t>
            </w:r>
            <w:r>
              <w:rPr>
                <w:rFonts w:hint="eastAsia" w:ascii="宋体" w:hAnsi="宋体" w:cs="宋体"/>
                <w:b/>
                <w:bCs/>
                <w:sz w:val="24"/>
              </w:rPr>
              <w:t>国家行政主管部门或</w:t>
            </w:r>
            <w:r>
              <w:rPr>
                <w:rFonts w:ascii="宋体" w:hAnsi="宋体" w:cs="宋体"/>
                <w:b/>
                <w:bCs/>
                <w:sz w:val="24"/>
              </w:rPr>
              <w:t>中国勘察设计协会颁发的设计奖项</w:t>
            </w:r>
            <w:r>
              <w:rPr>
                <w:rFonts w:hint="eastAsia" w:ascii="宋体" w:hAnsi="宋体" w:cs="宋体"/>
                <w:b/>
                <w:bCs/>
                <w:sz w:val="24"/>
              </w:rPr>
              <w:t>，省级</w:t>
            </w:r>
            <w:r>
              <w:rPr>
                <w:rFonts w:ascii="宋体" w:hAnsi="宋体" w:cs="宋体"/>
                <w:b/>
                <w:bCs/>
                <w:sz w:val="24"/>
              </w:rPr>
              <w:t>设计奖项指由</w:t>
            </w:r>
            <w:r>
              <w:rPr>
                <w:rFonts w:hint="eastAsia" w:ascii="宋体" w:hAnsi="宋体" w:cs="宋体"/>
                <w:b/>
                <w:bCs/>
                <w:sz w:val="24"/>
              </w:rPr>
              <w:t>省级行政主管部门或省级勘察设计协会颁发的设计奖项</w:t>
            </w:r>
            <w:r>
              <w:rPr>
                <w:rFonts w:ascii="宋体" w:hAnsi="宋体" w:cs="宋体"/>
                <w:b/>
                <w:bCs/>
                <w:sz w:val="24"/>
              </w:rPr>
              <w:t>，其他机构颁发的不计，不含专项设计奖</w:t>
            </w:r>
            <w:r>
              <w:rPr>
                <w:rFonts w:hint="eastAsia" w:ascii="宋体" w:hAnsi="宋体" w:cs="宋体"/>
                <w:b/>
                <w:bCs/>
                <w:sz w:val="24"/>
                <w:lang w:eastAsia="zh-CN"/>
              </w:rPr>
              <w:t>。</w:t>
            </w:r>
            <w:r>
              <w:rPr>
                <w:rFonts w:hint="eastAsia" w:ascii="宋体" w:hAnsi="宋体" w:cs="宋体"/>
                <w:b/>
                <w:bCs/>
                <w:sz w:val="24"/>
              </w:rPr>
              <w:t>提供获奖证书，以证书时间为准。投标人提供自认为最具代表性、契合性的奖项，奖项个数最多不超过2个，同一项目获得多个奖项的仅作为1个奖项计取。如投标人提供的奖项超过2个，评标委员会只评审投标人在获奖评审表中序号前2个的奖项，投标人自行考虑排序。</w:t>
            </w:r>
          </w:p>
          <w:p>
            <w:pPr>
              <w:spacing w:line="360" w:lineRule="auto"/>
              <w:rPr>
                <w:rFonts w:ascii="宋体" w:hAnsi="宋体" w:cs="宋体"/>
                <w:sz w:val="24"/>
              </w:rPr>
            </w:pPr>
            <w:r>
              <w:rPr>
                <w:rFonts w:hint="eastAsia" w:ascii="宋体" w:hAnsi="宋体" w:cs="宋体"/>
                <w:sz w:val="24"/>
              </w:rPr>
              <w:t>2.投标人获得过中国勘察设计协会举办的BIM应用大赛奖项的，得1分，否则不得分。</w:t>
            </w:r>
          </w:p>
          <w:p>
            <w:pPr>
              <w:spacing w:line="360" w:lineRule="auto"/>
              <w:rPr>
                <w:rFonts w:ascii="宋体" w:hAnsi="宋体" w:cs="宋体"/>
                <w:sz w:val="24"/>
              </w:rPr>
            </w:pPr>
            <w:r>
              <w:rPr>
                <w:rFonts w:hint="eastAsia" w:ascii="宋体" w:hAnsi="宋体" w:cs="宋体"/>
                <w:b/>
                <w:bCs/>
                <w:sz w:val="24"/>
              </w:rPr>
              <w:t>备注：提供获奖证书。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452" w:type="pct"/>
            <w:vMerge w:val="continue"/>
            <w:tcBorders>
              <w:right w:val="single" w:color="auto" w:sz="4" w:space="0"/>
            </w:tcBorders>
            <w:vAlign w:val="center"/>
          </w:tcPr>
          <w:p>
            <w:pPr>
              <w:spacing w:line="440" w:lineRule="exact"/>
              <w:jc w:val="center"/>
              <w:rPr>
                <w:rFonts w:ascii="宋体" w:hAnsi="宋体" w:cs="宋体"/>
                <w:sz w:val="24"/>
              </w:rPr>
            </w:pPr>
          </w:p>
        </w:tc>
        <w:tc>
          <w:tcPr>
            <w:tcW w:w="834"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 w:val="24"/>
              </w:rPr>
            </w:pPr>
            <w:r>
              <w:rPr>
                <w:rFonts w:hint="eastAsia" w:ascii="宋体" w:hAnsi="宋体" w:cs="宋体"/>
                <w:sz w:val="24"/>
              </w:rPr>
              <w:t>类似项目业绩</w:t>
            </w:r>
          </w:p>
        </w:tc>
        <w:tc>
          <w:tcPr>
            <w:tcW w:w="379" w:type="pct"/>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4"/>
              </w:rPr>
            </w:pPr>
            <w:r>
              <w:rPr>
                <w:rFonts w:ascii="宋体" w:hAnsi="宋体" w:cs="宋体"/>
                <w:kern w:val="0"/>
                <w:sz w:val="24"/>
              </w:rPr>
              <w:t>6</w:t>
            </w:r>
            <w:r>
              <w:rPr>
                <w:rFonts w:hint="eastAsia" w:ascii="宋体" w:hAnsi="宋体" w:cs="宋体"/>
                <w:kern w:val="0"/>
                <w:sz w:val="24"/>
              </w:rPr>
              <w:t>分</w:t>
            </w:r>
          </w:p>
        </w:tc>
        <w:tc>
          <w:tcPr>
            <w:tcW w:w="3335"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sz w:val="24"/>
              </w:rPr>
            </w:pPr>
            <w:r>
              <w:rPr>
                <w:rFonts w:hint="eastAsia" w:ascii="宋体" w:hAnsi="宋体" w:cs="宋体"/>
                <w:sz w:val="24"/>
              </w:rPr>
              <w:t>投标人自</w:t>
            </w:r>
            <w:r>
              <w:rPr>
                <w:rFonts w:ascii="宋体" w:hAnsi="宋体" w:cs="宋体"/>
                <w:sz w:val="24"/>
              </w:rPr>
              <w:t>2020年1月1日至投标截止日前，</w:t>
            </w:r>
            <w:r>
              <w:rPr>
                <w:rFonts w:hint="eastAsia" w:ascii="宋体" w:hAnsi="宋体" w:cs="宋体"/>
                <w:sz w:val="24"/>
              </w:rPr>
              <w:t>提供</w:t>
            </w:r>
            <w:r>
              <w:rPr>
                <w:rFonts w:ascii="宋体" w:hAnsi="宋体" w:cs="宋体"/>
                <w:sz w:val="24"/>
              </w:rPr>
              <w:t>一项已完成</w:t>
            </w:r>
            <w:r>
              <w:rPr>
                <w:rFonts w:hint="eastAsia" w:ascii="宋体" w:hAnsi="宋体" w:cs="宋体"/>
                <w:sz w:val="24"/>
              </w:rPr>
              <w:t>的单项合同建筑面积</w:t>
            </w:r>
            <w:r>
              <w:rPr>
                <w:rFonts w:ascii="宋体" w:hAnsi="宋体" w:cs="宋体"/>
                <w:sz w:val="24"/>
              </w:rPr>
              <w:t>20</w:t>
            </w:r>
            <w:r>
              <w:rPr>
                <w:rFonts w:hint="eastAsia" w:ascii="宋体" w:hAnsi="宋体" w:cs="宋体"/>
                <w:sz w:val="24"/>
              </w:rPr>
              <w:t>万平方米及以上规模的公共建筑类工程设计项目的业绩，每个得</w:t>
            </w:r>
            <w:r>
              <w:rPr>
                <w:rFonts w:ascii="宋体" w:hAnsi="宋体" w:cs="宋体"/>
                <w:sz w:val="24"/>
              </w:rPr>
              <w:t>3分，本项最多6分。</w:t>
            </w:r>
          </w:p>
          <w:p>
            <w:pPr>
              <w:spacing w:line="360" w:lineRule="auto"/>
              <w:rPr>
                <w:rFonts w:ascii="宋体" w:hAnsi="宋体" w:cs="宋体"/>
                <w:b/>
                <w:bCs/>
                <w:sz w:val="24"/>
              </w:rPr>
            </w:pPr>
            <w:r>
              <w:rPr>
                <w:rFonts w:hint="eastAsia" w:ascii="宋体" w:hAnsi="宋体" w:cs="宋体"/>
                <w:b/>
                <w:bCs/>
                <w:sz w:val="24"/>
              </w:rPr>
              <w:t>备注：业绩提供合同协议书及初设批复，以合同签订时间为准，合同中需体现项目规模或投资金额及设计阶段包含初步设计阶段。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452" w:type="pct"/>
            <w:vMerge w:val="continue"/>
            <w:tcBorders>
              <w:right w:val="single" w:color="auto" w:sz="4" w:space="0"/>
            </w:tcBorders>
            <w:vAlign w:val="center"/>
          </w:tcPr>
          <w:p>
            <w:pPr>
              <w:spacing w:line="440" w:lineRule="exact"/>
              <w:jc w:val="center"/>
              <w:rPr>
                <w:rFonts w:ascii="宋体" w:hAnsi="宋体" w:cs="宋体"/>
                <w:sz w:val="24"/>
              </w:rPr>
            </w:pPr>
          </w:p>
        </w:tc>
        <w:tc>
          <w:tcPr>
            <w:tcW w:w="834"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 w:val="24"/>
              </w:rPr>
            </w:pPr>
            <w:r>
              <w:rPr>
                <w:rFonts w:hint="eastAsia" w:ascii="宋体" w:hAnsi="宋体" w:cs="宋体"/>
                <w:sz w:val="24"/>
              </w:rPr>
              <w:t>项目负责人资历和业绩</w:t>
            </w:r>
          </w:p>
        </w:tc>
        <w:tc>
          <w:tcPr>
            <w:tcW w:w="379"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kern w:val="0"/>
                <w:sz w:val="24"/>
              </w:rPr>
            </w:pPr>
            <w:r>
              <w:rPr>
                <w:rFonts w:ascii="宋体" w:hAnsi="宋体" w:cs="宋体"/>
                <w:kern w:val="0"/>
                <w:sz w:val="24"/>
              </w:rPr>
              <w:t>4</w:t>
            </w:r>
            <w:r>
              <w:rPr>
                <w:rFonts w:hint="eastAsia" w:ascii="宋体" w:hAnsi="宋体" w:cs="宋体"/>
                <w:kern w:val="0"/>
                <w:sz w:val="24"/>
              </w:rPr>
              <w:t>分</w:t>
            </w:r>
          </w:p>
        </w:tc>
        <w:tc>
          <w:tcPr>
            <w:tcW w:w="3335"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sz w:val="24"/>
              </w:rPr>
            </w:pPr>
            <w:r>
              <w:rPr>
                <w:rFonts w:hint="eastAsia" w:ascii="宋体" w:hAnsi="宋体" w:cs="宋体"/>
                <w:sz w:val="24"/>
              </w:rPr>
              <w:t>1.项目负责人为正高级（教授级）高级工程师的得2分。</w:t>
            </w:r>
            <w:r>
              <w:rPr>
                <w:rFonts w:hint="eastAsia" w:ascii="宋体" w:hAnsi="宋体" w:cs="宋体"/>
                <w:b/>
                <w:bCs/>
                <w:sz w:val="24"/>
              </w:rPr>
              <w:t>备注：须提供职称证书复印件或扫描件及投标人缴纳的近1年内任意连续6个月社保证明。</w:t>
            </w:r>
          </w:p>
          <w:p>
            <w:pPr>
              <w:spacing w:line="360" w:lineRule="auto"/>
              <w:rPr>
                <w:rFonts w:ascii="宋体" w:hAnsi="宋体" w:cs="宋体"/>
                <w:sz w:val="24"/>
              </w:rPr>
            </w:pPr>
            <w:r>
              <w:rPr>
                <w:rFonts w:hint="eastAsia" w:ascii="宋体" w:hAnsi="宋体" w:cs="宋体"/>
                <w:sz w:val="24"/>
              </w:rPr>
              <w:t>2.</w:t>
            </w:r>
            <w:r>
              <w:rPr>
                <w:rFonts w:ascii="宋体" w:hAnsi="宋体" w:cs="宋体"/>
                <w:sz w:val="24"/>
              </w:rPr>
              <w:t>项目负责人自2020年1月1日至投标截止日前，</w:t>
            </w:r>
            <w:r>
              <w:rPr>
                <w:rFonts w:hint="eastAsia" w:ascii="宋体" w:hAnsi="宋体" w:cs="宋体"/>
                <w:sz w:val="24"/>
              </w:rPr>
              <w:t>提供一</w:t>
            </w:r>
            <w:r>
              <w:rPr>
                <w:rFonts w:ascii="宋体" w:hAnsi="宋体" w:cs="宋体"/>
                <w:sz w:val="24"/>
              </w:rPr>
              <w:t>项已完成</w:t>
            </w:r>
            <w:r>
              <w:rPr>
                <w:rFonts w:hint="eastAsia" w:ascii="宋体" w:hAnsi="宋体" w:cs="宋体"/>
                <w:sz w:val="24"/>
              </w:rPr>
              <w:t>的单项合同建筑面积</w:t>
            </w:r>
            <w:r>
              <w:rPr>
                <w:rFonts w:ascii="宋体" w:hAnsi="宋体" w:cs="宋体"/>
                <w:sz w:val="24"/>
              </w:rPr>
              <w:t>20万平方米及以上规模</w:t>
            </w:r>
            <w:r>
              <w:rPr>
                <w:rFonts w:hint="eastAsia" w:ascii="宋体" w:hAnsi="宋体" w:cs="宋体"/>
                <w:sz w:val="24"/>
              </w:rPr>
              <w:t>的公共建筑类工程设计项目业绩得</w:t>
            </w:r>
            <w:r>
              <w:rPr>
                <w:rFonts w:ascii="宋体" w:hAnsi="宋体" w:cs="宋体"/>
                <w:sz w:val="24"/>
              </w:rPr>
              <w:t>2分，</w:t>
            </w:r>
            <w:r>
              <w:rPr>
                <w:rFonts w:hint="eastAsia" w:ascii="宋体" w:hAnsi="宋体" w:cs="宋体"/>
                <w:sz w:val="24"/>
              </w:rPr>
              <w:t>本项最多得</w:t>
            </w:r>
            <w:r>
              <w:rPr>
                <w:rFonts w:ascii="宋体" w:hAnsi="宋体" w:cs="宋体"/>
                <w:sz w:val="24"/>
              </w:rPr>
              <w:t>2分。</w:t>
            </w:r>
          </w:p>
          <w:p>
            <w:pPr>
              <w:spacing w:line="360" w:lineRule="auto"/>
              <w:rPr>
                <w:rFonts w:ascii="宋体" w:hAnsi="宋体" w:cs="宋体"/>
                <w:b/>
                <w:bCs/>
                <w:sz w:val="24"/>
              </w:rPr>
            </w:pPr>
            <w:r>
              <w:rPr>
                <w:rFonts w:hint="eastAsia" w:ascii="宋体" w:hAnsi="宋体" w:cs="宋体"/>
                <w:b/>
                <w:bCs/>
                <w:sz w:val="24"/>
              </w:rPr>
              <w:t>备注：</w:t>
            </w:r>
            <w:r>
              <w:rPr>
                <w:rFonts w:ascii="宋体" w:hAnsi="宋体" w:cs="宋体"/>
                <w:b/>
                <w:bCs/>
                <w:sz w:val="24"/>
              </w:rPr>
              <w:t>业绩提供合同协议书及初设批复，以合同签订时间为准，合同中</w:t>
            </w:r>
            <w:r>
              <w:rPr>
                <w:rFonts w:hint="eastAsia" w:ascii="宋体" w:hAnsi="宋体" w:cs="宋体"/>
                <w:b/>
                <w:bCs/>
                <w:sz w:val="24"/>
              </w:rPr>
              <w:t>需体现项目规模或投资金额及设计阶段包含初步设计阶段，合同中需体现项目负责人，业绩可以与企业业绩重复。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452" w:type="pct"/>
            <w:vMerge w:val="continue"/>
            <w:tcBorders>
              <w:right w:val="single" w:color="auto" w:sz="4" w:space="0"/>
            </w:tcBorders>
            <w:vAlign w:val="center"/>
          </w:tcPr>
          <w:p>
            <w:pPr>
              <w:spacing w:line="440" w:lineRule="exact"/>
              <w:jc w:val="center"/>
              <w:rPr>
                <w:rFonts w:ascii="宋体" w:hAnsi="宋体" w:cs="宋体"/>
                <w:sz w:val="24"/>
              </w:rPr>
            </w:pPr>
          </w:p>
        </w:tc>
        <w:tc>
          <w:tcPr>
            <w:tcW w:w="834"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 w:val="24"/>
              </w:rPr>
            </w:pPr>
            <w:r>
              <w:rPr>
                <w:rFonts w:hint="eastAsia" w:ascii="宋体" w:hAnsi="宋体" w:cs="宋体"/>
                <w:sz w:val="24"/>
              </w:rPr>
              <w:t>其他主要人员资历和业绩</w:t>
            </w:r>
          </w:p>
        </w:tc>
        <w:tc>
          <w:tcPr>
            <w:tcW w:w="379"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kern w:val="0"/>
                <w:sz w:val="24"/>
              </w:rPr>
            </w:pPr>
            <w:r>
              <w:rPr>
                <w:rFonts w:ascii="宋体" w:hAnsi="宋体" w:cs="宋体"/>
                <w:kern w:val="0"/>
                <w:sz w:val="24"/>
              </w:rPr>
              <w:t>8</w:t>
            </w:r>
            <w:r>
              <w:rPr>
                <w:rFonts w:hint="eastAsia" w:ascii="宋体" w:hAnsi="宋体" w:cs="宋体"/>
                <w:kern w:val="0"/>
                <w:sz w:val="24"/>
              </w:rPr>
              <w:t>分</w:t>
            </w:r>
          </w:p>
        </w:tc>
        <w:tc>
          <w:tcPr>
            <w:tcW w:w="3335" w:type="pct"/>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4"/>
              </w:rPr>
            </w:pPr>
            <w:r>
              <w:rPr>
                <w:rFonts w:hint="eastAsia" w:ascii="宋体" w:hAnsi="宋体" w:cs="宋体"/>
                <w:sz w:val="24"/>
              </w:rPr>
              <w:t>1.建筑、结构、给排水、电气各专业配备齐全，各专业负责人具备高级及以上职称的每个得</w:t>
            </w:r>
            <w:r>
              <w:rPr>
                <w:rFonts w:ascii="宋体" w:hAnsi="宋体" w:cs="宋体"/>
                <w:sz w:val="24"/>
              </w:rPr>
              <w:t>1</w:t>
            </w:r>
            <w:r>
              <w:rPr>
                <w:rFonts w:hint="eastAsia" w:ascii="宋体" w:hAnsi="宋体" w:cs="宋体"/>
                <w:sz w:val="24"/>
              </w:rPr>
              <w:t>分，本项最多得</w:t>
            </w:r>
            <w:r>
              <w:rPr>
                <w:rFonts w:ascii="宋体" w:hAnsi="宋体" w:cs="宋体"/>
                <w:sz w:val="24"/>
              </w:rPr>
              <w:t>4</w:t>
            </w:r>
            <w:r>
              <w:rPr>
                <w:rFonts w:hint="eastAsia" w:ascii="宋体" w:hAnsi="宋体" w:cs="宋体"/>
                <w:sz w:val="24"/>
              </w:rPr>
              <w:t>分。</w:t>
            </w:r>
          </w:p>
          <w:p>
            <w:pPr>
              <w:spacing w:line="440" w:lineRule="exact"/>
              <w:rPr>
                <w:rFonts w:ascii="宋体" w:hAnsi="宋体" w:cs="宋体"/>
                <w:sz w:val="24"/>
              </w:rPr>
            </w:pPr>
            <w:r>
              <w:rPr>
                <w:rFonts w:hint="eastAsia" w:ascii="宋体" w:hAnsi="宋体" w:cs="宋体"/>
                <w:b/>
                <w:bCs/>
                <w:sz w:val="24"/>
              </w:rPr>
              <w:t>备注：提供职称证复印件及投标人缴纳的近1年内任意连续6个月有效社保证明。</w:t>
            </w:r>
          </w:p>
          <w:p>
            <w:pPr>
              <w:spacing w:line="440" w:lineRule="exact"/>
              <w:rPr>
                <w:rFonts w:ascii="宋体" w:hAnsi="宋体" w:cs="宋体"/>
                <w:sz w:val="24"/>
              </w:rPr>
            </w:pPr>
            <w:r>
              <w:rPr>
                <w:rFonts w:hint="eastAsia" w:ascii="宋体" w:hAnsi="宋体" w:cs="宋体"/>
                <w:sz w:val="24"/>
              </w:rPr>
              <w:t>2.投标人在职人员获得过全国工程勘察设计大师的每一人得</w:t>
            </w:r>
            <w:r>
              <w:rPr>
                <w:rFonts w:ascii="宋体" w:hAnsi="宋体" w:cs="宋体"/>
                <w:sz w:val="24"/>
              </w:rPr>
              <w:t>4</w:t>
            </w:r>
            <w:r>
              <w:rPr>
                <w:rFonts w:hint="eastAsia" w:ascii="宋体" w:hAnsi="宋体" w:cs="宋体"/>
                <w:sz w:val="24"/>
              </w:rPr>
              <w:t>分，本项最多得</w:t>
            </w:r>
            <w:r>
              <w:rPr>
                <w:rFonts w:ascii="宋体" w:hAnsi="宋体" w:cs="宋体"/>
                <w:sz w:val="24"/>
              </w:rPr>
              <w:t>4</w:t>
            </w:r>
            <w:r>
              <w:rPr>
                <w:rFonts w:hint="eastAsia" w:ascii="宋体" w:hAnsi="宋体" w:cs="宋体"/>
                <w:sz w:val="24"/>
              </w:rPr>
              <w:t>分。</w:t>
            </w:r>
          </w:p>
          <w:p>
            <w:pPr>
              <w:spacing w:line="440" w:lineRule="exact"/>
              <w:rPr>
                <w:rFonts w:ascii="宋体" w:hAnsi="宋体" w:cs="宋体"/>
                <w:b/>
                <w:bCs/>
                <w:sz w:val="24"/>
              </w:rPr>
            </w:pPr>
            <w:r>
              <w:rPr>
                <w:rFonts w:hint="eastAsia" w:ascii="宋体" w:hAnsi="宋体" w:cs="宋体"/>
                <w:b/>
                <w:bCs/>
                <w:sz w:val="24"/>
              </w:rPr>
              <w:t>备注：须提供入选全国工程勘察设计大师证明文件原件彩色扫描件及投标人缴纳的近1年内任意连续6个月有效社保证明。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452" w:type="pct"/>
            <w:vMerge w:val="continue"/>
            <w:tcBorders>
              <w:right w:val="single" w:color="auto" w:sz="4" w:space="0"/>
            </w:tcBorders>
            <w:vAlign w:val="center"/>
          </w:tcPr>
          <w:p>
            <w:pPr>
              <w:spacing w:line="440" w:lineRule="exact"/>
              <w:jc w:val="center"/>
              <w:rPr>
                <w:rFonts w:ascii="宋体" w:hAnsi="宋体" w:cs="宋体"/>
                <w:sz w:val="24"/>
              </w:rPr>
            </w:pPr>
          </w:p>
        </w:tc>
        <w:tc>
          <w:tcPr>
            <w:tcW w:w="834"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 w:val="24"/>
              </w:rPr>
            </w:pPr>
            <w:r>
              <w:rPr>
                <w:rFonts w:hint="eastAsia" w:ascii="宋体" w:hAnsi="宋体" w:cs="宋体"/>
                <w:sz w:val="24"/>
              </w:rPr>
              <w:t>项目负责人获奖</w:t>
            </w:r>
          </w:p>
        </w:tc>
        <w:tc>
          <w:tcPr>
            <w:tcW w:w="379"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kern w:val="0"/>
                <w:sz w:val="24"/>
              </w:rPr>
            </w:pPr>
            <w:r>
              <w:rPr>
                <w:rFonts w:ascii="宋体" w:hAnsi="宋体" w:cs="宋体"/>
                <w:kern w:val="0"/>
                <w:sz w:val="24"/>
              </w:rPr>
              <w:t>4</w:t>
            </w:r>
            <w:r>
              <w:rPr>
                <w:rFonts w:hint="eastAsia" w:ascii="宋体" w:hAnsi="宋体" w:cs="宋体"/>
                <w:kern w:val="0"/>
                <w:sz w:val="24"/>
              </w:rPr>
              <w:t>分</w:t>
            </w:r>
          </w:p>
        </w:tc>
        <w:tc>
          <w:tcPr>
            <w:tcW w:w="3335"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sz w:val="24"/>
              </w:rPr>
            </w:pPr>
            <w:r>
              <w:rPr>
                <w:rFonts w:hint="eastAsia" w:ascii="宋体" w:hAnsi="宋体" w:cs="宋体"/>
                <w:sz w:val="24"/>
              </w:rPr>
              <w:t>项目负责人自2020年1月1日至投标截止时间前，获得过国家级建筑设计奖项的，每个得</w:t>
            </w:r>
            <w:r>
              <w:rPr>
                <w:rFonts w:ascii="宋体" w:hAnsi="宋体" w:cs="宋体"/>
                <w:sz w:val="24"/>
              </w:rPr>
              <w:t>2</w:t>
            </w:r>
            <w:r>
              <w:rPr>
                <w:rFonts w:hint="eastAsia" w:ascii="宋体" w:hAnsi="宋体" w:cs="宋体"/>
                <w:sz w:val="24"/>
              </w:rPr>
              <w:t>分，</w:t>
            </w:r>
            <w:r>
              <w:rPr>
                <w:rFonts w:ascii="宋体" w:hAnsi="宋体" w:cs="宋体"/>
                <w:sz w:val="24"/>
              </w:rPr>
              <w:t>获</w:t>
            </w:r>
            <w:r>
              <w:rPr>
                <w:rFonts w:hint="eastAsia" w:ascii="宋体" w:hAnsi="宋体" w:cs="宋体"/>
                <w:sz w:val="24"/>
              </w:rPr>
              <w:t>得省级设计奖项的，每个得</w:t>
            </w:r>
            <w:r>
              <w:rPr>
                <w:rFonts w:ascii="宋体" w:hAnsi="宋体" w:cs="宋体"/>
                <w:sz w:val="24"/>
              </w:rPr>
              <w:t>1分</w:t>
            </w:r>
            <w:r>
              <w:rPr>
                <w:rFonts w:hint="eastAsia" w:ascii="宋体" w:hAnsi="宋体" w:cs="宋体"/>
                <w:sz w:val="24"/>
              </w:rPr>
              <w:t>。本项满分</w:t>
            </w:r>
            <w:r>
              <w:rPr>
                <w:rFonts w:ascii="宋体" w:hAnsi="宋体" w:cs="宋体"/>
                <w:sz w:val="24"/>
              </w:rPr>
              <w:t>4</w:t>
            </w:r>
            <w:r>
              <w:rPr>
                <w:rFonts w:hint="eastAsia" w:ascii="宋体" w:hAnsi="宋体" w:cs="宋体"/>
                <w:sz w:val="24"/>
              </w:rPr>
              <w:t>分。同一项目获得多个奖项只计最高奖项，不累计计分。</w:t>
            </w:r>
          </w:p>
          <w:p>
            <w:pPr>
              <w:spacing w:line="360" w:lineRule="auto"/>
              <w:rPr>
                <w:rFonts w:ascii="宋体" w:hAnsi="宋体" w:cs="宋体"/>
                <w:b/>
                <w:bCs/>
                <w:sz w:val="24"/>
              </w:rPr>
            </w:pPr>
            <w:r>
              <w:rPr>
                <w:rFonts w:hint="eastAsia" w:ascii="宋体" w:hAnsi="宋体" w:cs="宋体"/>
                <w:b/>
                <w:bCs/>
                <w:sz w:val="24"/>
              </w:rPr>
              <w:t>备注：国家级设计奖项指由国家行政主管部门或中国勘察设计协会颁发的设计奖项，省级</w:t>
            </w:r>
            <w:r>
              <w:rPr>
                <w:rFonts w:ascii="宋体" w:hAnsi="宋体" w:cs="宋体"/>
                <w:b/>
                <w:bCs/>
                <w:sz w:val="24"/>
              </w:rPr>
              <w:t>设计奖项指由</w:t>
            </w:r>
            <w:r>
              <w:rPr>
                <w:rFonts w:hint="eastAsia" w:ascii="宋体" w:hAnsi="宋体" w:cs="宋体"/>
                <w:b/>
                <w:bCs/>
                <w:sz w:val="24"/>
              </w:rPr>
              <w:t>省级行政主管部门或省级勘察设计协会颁发的设计奖项，其他机构颁发的不计，不含专项设计奖。提供获奖证书，以证书时间为准。投标人提供自认为最具代表性、契合</w:t>
            </w:r>
            <w:r>
              <w:rPr>
                <w:rFonts w:hint="eastAsia" w:ascii="宋体" w:hAnsi="宋体" w:cs="宋体"/>
                <w:b/>
                <w:bCs/>
                <w:sz w:val="24"/>
                <w:lang w:eastAsia="zh-CN"/>
              </w:rPr>
              <w:t>度</w:t>
            </w:r>
            <w:r>
              <w:rPr>
                <w:rFonts w:hint="eastAsia" w:ascii="宋体" w:hAnsi="宋体" w:cs="宋体"/>
                <w:b/>
                <w:bCs/>
                <w:sz w:val="24"/>
              </w:rPr>
              <w:t>的奖项，奖项个数最多不超过2个，同一项目获得多个奖项的仅作为1个奖项计取。如投标人提供的奖项超过2个，评标委员会只评审投标人在获奖评审表中序号前2个</w:t>
            </w:r>
            <w:r>
              <w:rPr>
                <w:rFonts w:hint="eastAsia" w:ascii="宋体" w:hAnsi="宋体" w:cs="宋体"/>
                <w:b/>
                <w:bCs/>
                <w:sz w:val="24"/>
                <w:lang w:val="en-US" w:eastAsia="zh-CN"/>
              </w:rPr>
              <w:t>的</w:t>
            </w:r>
            <w:r>
              <w:rPr>
                <w:rFonts w:hint="eastAsia" w:ascii="宋体" w:hAnsi="宋体" w:cs="宋体"/>
                <w:b/>
                <w:bCs/>
                <w:sz w:val="24"/>
              </w:rPr>
              <w:t>奖项，投标人自行考虑排序。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452" w:type="pct"/>
            <w:tcBorders>
              <w:top w:val="single" w:color="auto" w:sz="4" w:space="0"/>
              <w:bottom w:val="single" w:color="auto" w:sz="4" w:space="0"/>
              <w:right w:val="single" w:color="auto" w:sz="4" w:space="0"/>
            </w:tcBorders>
            <w:vAlign w:val="center"/>
          </w:tcPr>
          <w:p>
            <w:pPr>
              <w:spacing w:line="440" w:lineRule="exact"/>
              <w:jc w:val="center"/>
              <w:rPr>
                <w:rFonts w:ascii="宋体" w:hAnsi="宋体" w:cs="宋体"/>
                <w:sz w:val="24"/>
              </w:rPr>
            </w:pPr>
            <w:r>
              <w:rPr>
                <w:rFonts w:hint="eastAsia" w:ascii="宋体" w:hAnsi="宋体" w:cs="宋体"/>
                <w:sz w:val="24"/>
              </w:rPr>
              <w:t>报价文件评分标准</w:t>
            </w:r>
          </w:p>
        </w:tc>
        <w:tc>
          <w:tcPr>
            <w:tcW w:w="834"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 w:val="24"/>
              </w:rPr>
            </w:pPr>
            <w:r>
              <w:rPr>
                <w:rFonts w:hint="eastAsia" w:ascii="宋体" w:hAnsi="宋体" w:cs="宋体"/>
                <w:sz w:val="24"/>
              </w:rPr>
              <w:t>投标报价</w:t>
            </w:r>
          </w:p>
        </w:tc>
        <w:tc>
          <w:tcPr>
            <w:tcW w:w="379" w:type="pc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宋体" w:hAnsi="宋体" w:cs="宋体"/>
                <w:sz w:val="24"/>
              </w:rPr>
            </w:pPr>
            <w:r>
              <w:rPr>
                <w:rFonts w:ascii="宋体" w:hAnsi="宋体" w:cs="宋体"/>
                <w:sz w:val="24"/>
              </w:rPr>
              <w:t>10</w:t>
            </w:r>
            <w:r>
              <w:rPr>
                <w:rFonts w:hint="eastAsia" w:ascii="宋体" w:hAnsi="宋体" w:cs="宋体"/>
                <w:sz w:val="24"/>
              </w:rPr>
              <w:t>分</w:t>
            </w:r>
          </w:p>
        </w:tc>
        <w:tc>
          <w:tcPr>
            <w:tcW w:w="3335" w:type="pct"/>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s="宋体"/>
                <w:sz w:val="24"/>
              </w:rPr>
            </w:pPr>
            <w:r>
              <w:rPr>
                <w:rFonts w:hint="eastAsia" w:ascii="宋体" w:hAnsi="宋体" w:cs="宋体"/>
                <w:sz w:val="24"/>
              </w:rPr>
              <w:t>1</w:t>
            </w:r>
            <w:r>
              <w:rPr>
                <w:rFonts w:ascii="宋体" w:hAnsi="宋体" w:cs="宋体"/>
                <w:sz w:val="24"/>
              </w:rPr>
              <w:t>.确定评标价</w:t>
            </w:r>
          </w:p>
          <w:p>
            <w:pPr>
              <w:widowControl/>
              <w:spacing w:line="360" w:lineRule="auto"/>
              <w:jc w:val="left"/>
              <w:rPr>
                <w:rFonts w:ascii="宋体" w:hAnsi="宋体" w:cs="宋体"/>
                <w:sz w:val="24"/>
              </w:rPr>
            </w:pPr>
            <w:r>
              <w:rPr>
                <w:rFonts w:ascii="宋体" w:hAnsi="宋体" w:cs="宋体"/>
                <w:sz w:val="24"/>
              </w:rPr>
              <w:t>评标价=投标函文字报价</w:t>
            </w:r>
          </w:p>
          <w:p>
            <w:pPr>
              <w:widowControl/>
              <w:spacing w:line="360" w:lineRule="auto"/>
              <w:jc w:val="left"/>
              <w:rPr>
                <w:rFonts w:ascii="宋体" w:hAnsi="宋体" w:cs="宋体"/>
                <w:sz w:val="24"/>
              </w:rPr>
            </w:pPr>
            <w:r>
              <w:rPr>
                <w:rFonts w:hint="eastAsia" w:ascii="宋体" w:hAnsi="宋体" w:cs="宋体"/>
                <w:sz w:val="24"/>
              </w:rPr>
              <w:t>2</w:t>
            </w:r>
            <w:r>
              <w:rPr>
                <w:rFonts w:ascii="宋体" w:hAnsi="宋体" w:cs="宋体"/>
                <w:sz w:val="24"/>
              </w:rPr>
              <w:t>.评标价平均值计算</w:t>
            </w:r>
          </w:p>
          <w:p>
            <w:pPr>
              <w:widowControl/>
              <w:spacing w:line="360" w:lineRule="auto"/>
              <w:jc w:val="left"/>
              <w:rPr>
                <w:rFonts w:ascii="宋体" w:hAnsi="宋体" w:cs="宋体"/>
                <w:sz w:val="24"/>
              </w:rPr>
            </w:pPr>
            <w:r>
              <w:rPr>
                <w:rFonts w:ascii="宋体" w:hAnsi="宋体" w:cs="宋体"/>
                <w:sz w:val="24"/>
              </w:rPr>
              <w:t>2.1当通过报价文件初步评审的投标人数量≤5家时，取通过报价文件初步评审且商务及技术文件得分大于等于招标项目</w:t>
            </w:r>
            <w:r>
              <w:rPr>
                <w:rFonts w:hint="eastAsia" w:ascii="宋体" w:hAnsi="宋体" w:cs="宋体"/>
                <w:sz w:val="24"/>
              </w:rPr>
              <w:t>标段</w:t>
            </w:r>
            <w:r>
              <w:rPr>
                <w:rFonts w:ascii="宋体" w:hAnsi="宋体" w:cs="宋体"/>
                <w:sz w:val="24"/>
              </w:rPr>
              <w:t>商务及技术文件总分*60%的投标人评标价进行算术平均得出评标价平均值。（如通过报价文件初步评审且商务及技术文件得分大于等于招标项目标段商务及技术文件总分*60%的投标人为1家时，则该投标人评标价即为评标价平均值）</w:t>
            </w:r>
          </w:p>
          <w:p>
            <w:pPr>
              <w:widowControl/>
              <w:spacing w:line="360" w:lineRule="auto"/>
              <w:jc w:val="left"/>
              <w:rPr>
                <w:rFonts w:ascii="宋体" w:hAnsi="宋体" w:cs="宋体"/>
                <w:sz w:val="24"/>
              </w:rPr>
            </w:pPr>
            <w:r>
              <w:rPr>
                <w:rFonts w:ascii="宋体" w:hAnsi="宋体" w:cs="宋体"/>
                <w:sz w:val="24"/>
              </w:rPr>
              <w:t>注：如出现无法计算评标价平均值的情况，评标委员会将否决所有投标。</w:t>
            </w:r>
          </w:p>
          <w:p>
            <w:pPr>
              <w:widowControl/>
              <w:spacing w:line="360" w:lineRule="auto"/>
              <w:jc w:val="left"/>
              <w:rPr>
                <w:rFonts w:ascii="宋体" w:hAnsi="宋体" w:cs="宋体"/>
                <w:sz w:val="24"/>
              </w:rPr>
            </w:pPr>
            <w:r>
              <w:rPr>
                <w:rFonts w:ascii="宋体" w:hAnsi="宋体" w:cs="宋体"/>
                <w:sz w:val="24"/>
              </w:rPr>
              <w:t>2.2当通过报价文件初步评审的投标人数量＞5家时：</w:t>
            </w:r>
          </w:p>
          <w:p>
            <w:pPr>
              <w:widowControl/>
              <w:spacing w:line="360" w:lineRule="auto"/>
              <w:jc w:val="left"/>
              <w:rPr>
                <w:rFonts w:ascii="宋体" w:hAnsi="宋体" w:cs="宋体"/>
                <w:sz w:val="24"/>
              </w:rPr>
            </w:pPr>
            <w:r>
              <w:rPr>
                <w:rFonts w:hint="eastAsia" w:ascii="宋体" w:hAnsi="宋体" w:cs="宋体"/>
                <w:sz w:val="24"/>
              </w:rPr>
              <w:t>①</w:t>
            </w:r>
            <w:r>
              <w:rPr>
                <w:rFonts w:ascii="宋体" w:hAnsi="宋体" w:cs="宋体"/>
                <w:sz w:val="24"/>
              </w:rPr>
              <w:t>其中通过报价文件初步评审且商务及技术文件得分大于等于招标项目标段商务及技术文件总分*70%的投标人数量＞5家，取通过报价文件初步评审且商务及技术文件得分大于等于招标项目标段商务及技术文件总分*70%的投标人评标价进行算术平均得出评标价平均值。</w:t>
            </w:r>
          </w:p>
          <w:p>
            <w:pPr>
              <w:widowControl/>
              <w:spacing w:line="360" w:lineRule="auto"/>
              <w:jc w:val="left"/>
              <w:rPr>
                <w:rFonts w:ascii="宋体" w:hAnsi="宋体" w:cs="宋体"/>
                <w:sz w:val="24"/>
              </w:rPr>
            </w:pPr>
            <w:r>
              <w:rPr>
                <w:rFonts w:hint="eastAsia" w:ascii="宋体" w:hAnsi="宋体" w:cs="宋体"/>
                <w:sz w:val="24"/>
              </w:rPr>
              <w:t>②</w:t>
            </w:r>
            <w:r>
              <w:rPr>
                <w:rFonts w:ascii="宋体" w:hAnsi="宋体" w:cs="宋体"/>
                <w:sz w:val="24"/>
              </w:rPr>
              <w:t>其中通过报价文件初步评审且商务及技术文件得分大于等于招标项目标段商务及技术文件总分*70%的投标人数量≤5家时，取通过报价文件初步评审且商务及技术文件得分大于等于招标项目标段商务及技术文件总分*60%的投标人评标价进行算术平均得出评标价平均值。（如通过报价文件初步评审且商务及技术文件得分大于等于招标项目标段商务及技术文件总分*60%的投标人为1家时，则该投标人评标价即为评标价平均值）</w:t>
            </w:r>
          </w:p>
          <w:p>
            <w:pPr>
              <w:widowControl/>
              <w:spacing w:line="360" w:lineRule="auto"/>
              <w:jc w:val="left"/>
              <w:rPr>
                <w:rFonts w:ascii="宋体" w:hAnsi="宋体" w:cs="宋体"/>
                <w:sz w:val="24"/>
              </w:rPr>
            </w:pPr>
            <w:r>
              <w:rPr>
                <w:rFonts w:ascii="宋体" w:hAnsi="宋体" w:cs="宋体"/>
                <w:sz w:val="24"/>
              </w:rPr>
              <w:t>注：如出现无法计算评标价平均值的情况，评标委员会将否决所有投标。</w:t>
            </w:r>
          </w:p>
          <w:p>
            <w:pPr>
              <w:widowControl/>
              <w:spacing w:line="360" w:lineRule="auto"/>
              <w:jc w:val="left"/>
              <w:rPr>
                <w:rFonts w:ascii="宋体" w:hAnsi="宋体" w:cs="宋体"/>
                <w:sz w:val="24"/>
              </w:rPr>
            </w:pPr>
            <w:r>
              <w:rPr>
                <w:rFonts w:ascii="宋体" w:hAnsi="宋体" w:cs="宋体"/>
                <w:sz w:val="24"/>
              </w:rPr>
              <w:t>3.确定评标基准价</w:t>
            </w:r>
          </w:p>
          <w:p>
            <w:pPr>
              <w:widowControl/>
              <w:spacing w:line="360" w:lineRule="auto"/>
              <w:jc w:val="left"/>
              <w:rPr>
                <w:rFonts w:ascii="宋体" w:hAnsi="宋体" w:cs="宋体"/>
                <w:sz w:val="24"/>
              </w:rPr>
            </w:pPr>
            <w:r>
              <w:rPr>
                <w:rFonts w:ascii="宋体" w:hAnsi="宋体" w:cs="宋体"/>
                <w:sz w:val="24"/>
              </w:rPr>
              <w:t>评标基准价=评标价平均值*C值</w:t>
            </w:r>
          </w:p>
          <w:p>
            <w:pPr>
              <w:widowControl/>
              <w:spacing w:line="360" w:lineRule="auto"/>
              <w:jc w:val="left"/>
              <w:rPr>
                <w:rFonts w:ascii="宋体" w:hAnsi="宋体" w:cs="宋体"/>
                <w:sz w:val="24"/>
              </w:rPr>
            </w:pPr>
            <w:r>
              <w:rPr>
                <w:rFonts w:ascii="宋体" w:hAnsi="宋体" w:cs="宋体"/>
                <w:sz w:val="24"/>
              </w:rPr>
              <w:t>C值确定如下：</w:t>
            </w:r>
          </w:p>
          <w:p>
            <w:pPr>
              <w:widowControl/>
              <w:spacing w:line="360" w:lineRule="auto"/>
              <w:jc w:val="left"/>
              <w:rPr>
                <w:rFonts w:ascii="宋体" w:hAnsi="宋体" w:cs="宋体"/>
                <w:sz w:val="24"/>
              </w:rPr>
            </w:pPr>
            <w:r>
              <w:rPr>
                <w:rFonts w:ascii="宋体" w:hAnsi="宋体" w:cs="宋体"/>
                <w:sz w:val="24"/>
              </w:rPr>
              <w:t>将在投标截止时间后系统成功接收投标文件的投标人总数（无论是否成功解密）除以5，根据余数对应取C值，见下表（多标段按各自标段在投标截止时间后系统成功接收投标文件的投标人总数（无论是否成功解密）计算选取）</w:t>
            </w:r>
          </w:p>
          <w:tbl>
            <w:tblPr>
              <w:tblStyle w:val="50"/>
              <w:tblpPr w:leftFromText="180" w:rightFromText="180" w:vertAnchor="text" w:horzAnchor="margin" w:tblpY="198"/>
              <w:tblOverlap w:val="never"/>
              <w:tblW w:w="480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373"/>
              <w:gridCol w:w="35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2" w:hRule="atLeast"/>
              </w:trPr>
              <w:tc>
                <w:tcPr>
                  <w:tcW w:w="2002" w:type="pct"/>
                  <w:tcBorders>
                    <w:top w:val="single" w:color="000000" w:sz="4" w:space="0"/>
                    <w:left w:val="single" w:color="000000" w:sz="4" w:space="0"/>
                    <w:bottom w:val="single" w:color="000000" w:sz="4" w:space="0"/>
                    <w:right w:val="single" w:color="000000" w:sz="4" w:space="0"/>
                    <w:tl2br w:val="single" w:color="auto" w:sz="4" w:space="0"/>
                  </w:tcBorders>
                  <w:vAlign w:val="center"/>
                </w:tcPr>
                <w:p>
                  <w:pPr>
                    <w:spacing w:line="360" w:lineRule="auto"/>
                    <w:ind w:firstLine="720" w:firstLineChars="300"/>
                    <w:jc w:val="left"/>
                    <w:rPr>
                      <w:rFonts w:ascii="宋体" w:hAnsi="宋体" w:cs="宋体"/>
                      <w:sz w:val="24"/>
                    </w:rPr>
                  </w:pPr>
                  <w:r>
                    <w:rPr>
                      <w:rFonts w:hint="eastAsia" w:ascii="宋体" w:hAnsi="宋体" w:cs="宋体"/>
                      <w:sz w:val="24"/>
                    </w:rPr>
                    <w:t>对应的C值</w:t>
                  </w:r>
                </w:p>
                <w:p>
                  <w:pPr>
                    <w:spacing w:line="360" w:lineRule="auto"/>
                    <w:ind w:firstLine="480" w:firstLineChars="200"/>
                    <w:jc w:val="left"/>
                    <w:rPr>
                      <w:rFonts w:ascii="宋体" w:hAnsi="宋体" w:cs="宋体"/>
                      <w:sz w:val="24"/>
                    </w:rPr>
                  </w:pPr>
                  <w:r>
                    <w:rPr>
                      <w:rFonts w:hint="eastAsia" w:ascii="宋体" w:hAnsi="宋体" w:cs="宋体"/>
                      <w:sz w:val="24"/>
                    </w:rPr>
                    <w:t>余数</w:t>
                  </w:r>
                </w:p>
              </w:tc>
              <w:tc>
                <w:tcPr>
                  <w:tcW w:w="2997" w:type="pct"/>
                  <w:tcBorders>
                    <w:top w:val="single" w:color="000000" w:sz="4" w:space="0"/>
                    <w:left w:val="single" w:color="auto" w:sz="4" w:space="0"/>
                    <w:bottom w:val="single" w:color="000000" w:sz="4" w:space="0"/>
                    <w:right w:val="single" w:color="000000" w:sz="4" w:space="0"/>
                  </w:tcBorders>
                  <w:vAlign w:val="center"/>
                </w:tcPr>
                <w:p>
                  <w:pPr>
                    <w:spacing w:line="360" w:lineRule="auto"/>
                    <w:ind w:firstLine="480" w:firstLineChars="200"/>
                    <w:jc w:val="center"/>
                    <w:rPr>
                      <w:rFonts w:ascii="宋体" w:hAnsi="宋体" w:cs="宋体"/>
                      <w:sz w:val="24"/>
                    </w:rPr>
                  </w:pPr>
                  <w:r>
                    <w:rPr>
                      <w:rFonts w:hint="eastAsia" w:ascii="宋体" w:hAnsi="宋体" w:cs="宋体"/>
                      <w:sz w:val="24"/>
                    </w:rPr>
                    <w:t>C值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2002" w:type="pct"/>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Fonts w:ascii="宋体" w:hAnsi="宋体" w:cs="宋体"/>
                      <w:sz w:val="24"/>
                    </w:rPr>
                  </w:pPr>
                  <w:r>
                    <w:rPr>
                      <w:rFonts w:hint="eastAsia" w:ascii="宋体" w:hAnsi="宋体" w:cs="宋体"/>
                      <w:sz w:val="24"/>
                    </w:rPr>
                    <w:t>0</w:t>
                  </w:r>
                </w:p>
              </w:tc>
              <w:tc>
                <w:tcPr>
                  <w:tcW w:w="2997" w:type="pct"/>
                  <w:tcBorders>
                    <w:top w:val="single" w:color="000000" w:sz="4" w:space="0"/>
                    <w:left w:val="single" w:color="auto" w:sz="4" w:space="0"/>
                    <w:bottom w:val="single" w:color="000000" w:sz="4" w:space="0"/>
                    <w:right w:val="single" w:color="000000" w:sz="4" w:space="0"/>
                  </w:tcBorders>
                  <w:vAlign w:val="center"/>
                </w:tcPr>
                <w:p>
                  <w:pPr>
                    <w:spacing w:line="360" w:lineRule="auto"/>
                    <w:ind w:firstLine="480" w:firstLineChars="200"/>
                    <w:jc w:val="center"/>
                    <w:rPr>
                      <w:rFonts w:ascii="宋体" w:hAnsi="宋体" w:cs="宋体"/>
                      <w:sz w:val="24"/>
                    </w:rPr>
                  </w:pPr>
                  <w:r>
                    <w:rPr>
                      <w:rFonts w:hint="eastAsia" w:ascii="宋体" w:hAnsi="宋体" w:cs="宋体"/>
                      <w:sz w:val="24"/>
                    </w:rPr>
                    <w:t>0.95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002" w:type="pct"/>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Fonts w:ascii="宋体" w:hAnsi="宋体" w:cs="宋体"/>
                      <w:sz w:val="24"/>
                    </w:rPr>
                  </w:pPr>
                  <w:r>
                    <w:rPr>
                      <w:rFonts w:hint="eastAsia" w:ascii="宋体" w:hAnsi="宋体" w:cs="宋体"/>
                      <w:sz w:val="24"/>
                    </w:rPr>
                    <w:t>1</w:t>
                  </w:r>
                </w:p>
              </w:tc>
              <w:tc>
                <w:tcPr>
                  <w:tcW w:w="2997" w:type="pct"/>
                  <w:tcBorders>
                    <w:top w:val="single" w:color="000000" w:sz="4" w:space="0"/>
                    <w:left w:val="single" w:color="auto" w:sz="4" w:space="0"/>
                    <w:bottom w:val="single" w:color="000000" w:sz="4" w:space="0"/>
                    <w:right w:val="single" w:color="000000" w:sz="4" w:space="0"/>
                  </w:tcBorders>
                  <w:vAlign w:val="center"/>
                </w:tcPr>
                <w:p>
                  <w:pPr>
                    <w:spacing w:line="360" w:lineRule="auto"/>
                    <w:ind w:firstLine="480" w:firstLineChars="200"/>
                    <w:jc w:val="center"/>
                    <w:rPr>
                      <w:rFonts w:ascii="宋体" w:hAnsi="宋体" w:cs="宋体"/>
                      <w:sz w:val="24"/>
                    </w:rPr>
                  </w:pPr>
                  <w:r>
                    <w:rPr>
                      <w:rFonts w:hint="eastAsia" w:ascii="宋体" w:hAnsi="宋体" w:cs="宋体"/>
                      <w:sz w:val="24"/>
                    </w:rPr>
                    <w:t>0.96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002" w:type="pct"/>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Fonts w:ascii="宋体" w:hAnsi="宋体" w:cs="宋体"/>
                      <w:sz w:val="24"/>
                    </w:rPr>
                  </w:pPr>
                  <w:r>
                    <w:rPr>
                      <w:rFonts w:hint="eastAsia" w:ascii="宋体" w:hAnsi="宋体" w:cs="宋体"/>
                      <w:sz w:val="24"/>
                    </w:rPr>
                    <w:t>2</w:t>
                  </w:r>
                </w:p>
              </w:tc>
              <w:tc>
                <w:tcPr>
                  <w:tcW w:w="2997" w:type="pct"/>
                  <w:tcBorders>
                    <w:top w:val="single" w:color="000000" w:sz="4" w:space="0"/>
                    <w:left w:val="single" w:color="auto" w:sz="4" w:space="0"/>
                    <w:bottom w:val="single" w:color="000000" w:sz="4" w:space="0"/>
                    <w:right w:val="single" w:color="000000" w:sz="4" w:space="0"/>
                  </w:tcBorders>
                  <w:vAlign w:val="center"/>
                </w:tcPr>
                <w:p>
                  <w:pPr>
                    <w:spacing w:line="360" w:lineRule="auto"/>
                    <w:ind w:firstLine="480" w:firstLineChars="200"/>
                    <w:jc w:val="center"/>
                    <w:rPr>
                      <w:rFonts w:ascii="宋体" w:hAnsi="宋体" w:cs="宋体"/>
                      <w:sz w:val="24"/>
                    </w:rPr>
                  </w:pPr>
                  <w:r>
                    <w:rPr>
                      <w:rFonts w:hint="eastAsia" w:ascii="宋体" w:hAnsi="宋体" w:cs="宋体"/>
                      <w:sz w:val="24"/>
                    </w:rPr>
                    <w:t>0.97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002" w:type="pct"/>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Fonts w:ascii="宋体" w:hAnsi="宋体" w:cs="宋体"/>
                      <w:sz w:val="24"/>
                    </w:rPr>
                  </w:pPr>
                  <w:r>
                    <w:rPr>
                      <w:rFonts w:hint="eastAsia" w:ascii="宋体" w:hAnsi="宋体" w:cs="宋体"/>
                      <w:sz w:val="24"/>
                    </w:rPr>
                    <w:t>3</w:t>
                  </w:r>
                </w:p>
              </w:tc>
              <w:tc>
                <w:tcPr>
                  <w:tcW w:w="2997" w:type="pct"/>
                  <w:tcBorders>
                    <w:top w:val="single" w:color="000000" w:sz="4" w:space="0"/>
                    <w:left w:val="single" w:color="auto" w:sz="4" w:space="0"/>
                    <w:bottom w:val="single" w:color="000000" w:sz="4" w:space="0"/>
                    <w:right w:val="single" w:color="000000" w:sz="4" w:space="0"/>
                  </w:tcBorders>
                  <w:vAlign w:val="center"/>
                </w:tcPr>
                <w:p>
                  <w:pPr>
                    <w:spacing w:line="360" w:lineRule="auto"/>
                    <w:ind w:firstLine="480" w:firstLineChars="200"/>
                    <w:jc w:val="center"/>
                    <w:rPr>
                      <w:rFonts w:ascii="宋体" w:hAnsi="宋体" w:cs="宋体"/>
                      <w:sz w:val="24"/>
                    </w:rPr>
                  </w:pPr>
                  <w:r>
                    <w:rPr>
                      <w:rFonts w:hint="eastAsia" w:ascii="宋体" w:hAnsi="宋体" w:cs="宋体"/>
                      <w:sz w:val="24"/>
                    </w:rPr>
                    <w:t>0.98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002" w:type="pct"/>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Fonts w:ascii="宋体" w:hAnsi="宋体" w:cs="宋体"/>
                      <w:sz w:val="24"/>
                    </w:rPr>
                  </w:pPr>
                  <w:r>
                    <w:rPr>
                      <w:rFonts w:hint="eastAsia" w:ascii="宋体" w:hAnsi="宋体" w:cs="宋体"/>
                      <w:sz w:val="24"/>
                    </w:rPr>
                    <w:t>4</w:t>
                  </w:r>
                </w:p>
              </w:tc>
              <w:tc>
                <w:tcPr>
                  <w:tcW w:w="2997" w:type="pct"/>
                  <w:tcBorders>
                    <w:top w:val="single" w:color="000000" w:sz="4" w:space="0"/>
                    <w:left w:val="single" w:color="auto" w:sz="4" w:space="0"/>
                    <w:bottom w:val="single" w:color="000000" w:sz="4" w:space="0"/>
                    <w:right w:val="single" w:color="000000" w:sz="4" w:space="0"/>
                  </w:tcBorders>
                  <w:vAlign w:val="center"/>
                </w:tcPr>
                <w:p>
                  <w:pPr>
                    <w:spacing w:line="360" w:lineRule="auto"/>
                    <w:ind w:firstLine="480" w:firstLineChars="200"/>
                    <w:jc w:val="center"/>
                    <w:rPr>
                      <w:rFonts w:ascii="宋体" w:hAnsi="宋体" w:cs="宋体"/>
                      <w:sz w:val="24"/>
                    </w:rPr>
                  </w:pPr>
                  <w:r>
                    <w:rPr>
                      <w:rFonts w:hint="eastAsia" w:ascii="宋体" w:hAnsi="宋体" w:cs="宋体"/>
                      <w:sz w:val="24"/>
                    </w:rPr>
                    <w:t>0.99</w:t>
                  </w:r>
                </w:p>
              </w:tc>
            </w:tr>
          </w:tbl>
          <w:p>
            <w:pPr>
              <w:widowControl/>
              <w:spacing w:line="360" w:lineRule="auto"/>
              <w:jc w:val="left"/>
              <w:rPr>
                <w:rFonts w:ascii="宋体" w:hAnsi="宋体" w:cs="宋体"/>
                <w:sz w:val="24"/>
              </w:rPr>
            </w:pPr>
            <w:r>
              <w:rPr>
                <w:rFonts w:ascii="宋体" w:hAnsi="宋体" w:cs="宋体"/>
                <w:sz w:val="24"/>
              </w:rPr>
              <w:t>在评标过程中，评标委员会应对评标基准价进行复核，存在计算错误的应予以修正并在评标报告中作出说明。除此之外，评标基准价在整个评标期间保持不变，不随任何因素发生变化。</w:t>
            </w:r>
          </w:p>
          <w:p>
            <w:pPr>
              <w:spacing w:line="360" w:lineRule="auto"/>
              <w:jc w:val="left"/>
              <w:rPr>
                <w:rFonts w:ascii="宋体" w:hAnsi="宋体" w:cs="宋体"/>
                <w:sz w:val="24"/>
              </w:rPr>
            </w:pPr>
            <w:r>
              <w:rPr>
                <w:rFonts w:hint="eastAsia" w:ascii="宋体" w:hAnsi="宋体" w:cs="宋体"/>
                <w:sz w:val="24"/>
              </w:rPr>
              <w:t>4</w:t>
            </w:r>
            <w:r>
              <w:rPr>
                <w:rFonts w:ascii="宋体" w:hAnsi="宋体" w:cs="宋体"/>
                <w:sz w:val="24"/>
              </w:rPr>
              <w:t>.评标价的偏差率计算</w:t>
            </w:r>
          </w:p>
          <w:p>
            <w:pPr>
              <w:spacing w:line="360" w:lineRule="auto"/>
              <w:jc w:val="left"/>
              <w:rPr>
                <w:rFonts w:ascii="宋体" w:hAnsi="宋体" w:cs="宋体"/>
                <w:sz w:val="24"/>
              </w:rPr>
            </w:pPr>
            <w:r>
              <w:rPr>
                <w:rFonts w:ascii="宋体" w:hAnsi="宋体" w:cs="宋体"/>
                <w:sz w:val="24"/>
              </w:rPr>
              <w:t>偏差率=100%×（投标人评标价-评标基准价）/评标基准价</w:t>
            </w:r>
          </w:p>
          <w:p>
            <w:pPr>
              <w:spacing w:line="360" w:lineRule="auto"/>
              <w:jc w:val="left"/>
              <w:rPr>
                <w:rFonts w:ascii="宋体" w:hAnsi="宋体" w:cs="宋体"/>
                <w:sz w:val="24"/>
              </w:rPr>
            </w:pPr>
            <w:r>
              <w:rPr>
                <w:rFonts w:ascii="宋体" w:hAnsi="宋体" w:cs="宋体"/>
                <w:sz w:val="24"/>
              </w:rPr>
              <w:t>偏差率保留两位小数（小数点后第三位“四舍五入”），即为*.**%。</w:t>
            </w:r>
          </w:p>
          <w:p>
            <w:pPr>
              <w:spacing w:line="360" w:lineRule="auto"/>
              <w:jc w:val="left"/>
              <w:rPr>
                <w:rFonts w:ascii="宋体" w:hAnsi="宋体" w:cs="宋体"/>
                <w:sz w:val="24"/>
              </w:rPr>
            </w:pPr>
            <w:r>
              <w:rPr>
                <w:rFonts w:hint="eastAsia" w:ascii="宋体" w:hAnsi="宋体" w:cs="宋体"/>
                <w:sz w:val="24"/>
              </w:rPr>
              <w:t>5</w:t>
            </w:r>
            <w:r>
              <w:rPr>
                <w:rFonts w:ascii="宋体" w:hAnsi="宋体" w:cs="宋体"/>
                <w:sz w:val="24"/>
              </w:rPr>
              <w:t>.评标价得分计算</w:t>
            </w:r>
          </w:p>
          <w:p>
            <w:pPr>
              <w:spacing w:line="360" w:lineRule="auto"/>
              <w:jc w:val="left"/>
              <w:rPr>
                <w:rFonts w:ascii="宋体" w:hAnsi="宋体" w:cs="宋体"/>
                <w:sz w:val="24"/>
              </w:rPr>
            </w:pPr>
            <w:r>
              <w:rPr>
                <w:rFonts w:ascii="宋体" w:hAnsi="宋体" w:cs="宋体"/>
                <w:sz w:val="24"/>
              </w:rPr>
              <w:t>5.1当投标人评标价＞评标基准价，评标价得分=F-偏差率*100*E1</w:t>
            </w:r>
          </w:p>
          <w:p>
            <w:pPr>
              <w:spacing w:line="360" w:lineRule="auto"/>
              <w:jc w:val="left"/>
              <w:rPr>
                <w:rFonts w:ascii="宋体" w:hAnsi="宋体" w:cs="宋体"/>
                <w:sz w:val="24"/>
              </w:rPr>
            </w:pPr>
            <w:r>
              <w:rPr>
                <w:rFonts w:ascii="宋体" w:hAnsi="宋体" w:cs="宋体"/>
                <w:sz w:val="24"/>
              </w:rPr>
              <w:t>5.2当投标人评标价≤评标基准价，评标价得分=F+偏差率*100*E2</w:t>
            </w:r>
          </w:p>
          <w:p>
            <w:pPr>
              <w:widowControl/>
              <w:spacing w:line="360" w:lineRule="auto"/>
              <w:jc w:val="left"/>
              <w:rPr>
                <w:rFonts w:ascii="宋体" w:hAnsi="宋体" w:cs="宋体"/>
                <w:sz w:val="24"/>
              </w:rPr>
            </w:pPr>
            <w:r>
              <w:rPr>
                <w:rFonts w:ascii="宋体" w:hAnsi="宋体" w:cs="宋体"/>
                <w:sz w:val="24"/>
              </w:rPr>
              <w:t>本招标项目E1=0.5；E2=0.3</w:t>
            </w:r>
          </w:p>
          <w:p>
            <w:pPr>
              <w:spacing w:line="360" w:lineRule="auto"/>
              <w:jc w:val="left"/>
              <w:rPr>
                <w:rFonts w:ascii="宋体" w:hAnsi="宋体" w:cs="宋体"/>
                <w:sz w:val="24"/>
              </w:rPr>
            </w:pPr>
            <w:r>
              <w:rPr>
                <w:rFonts w:ascii="宋体" w:hAnsi="宋体" w:cs="宋体"/>
                <w:sz w:val="24"/>
              </w:rPr>
              <w:t>其中：F是评标价所占的权重分值。E1是评标价每高于评标基准价一个百分点的扣分值，E2是评标价每低于评标基准价一个百分点的扣分值。</w:t>
            </w:r>
          </w:p>
          <w:p>
            <w:pPr>
              <w:spacing w:line="360" w:lineRule="auto"/>
              <w:jc w:val="left"/>
              <w:rPr>
                <w:rFonts w:ascii="宋体" w:hAnsi="宋体" w:cs="宋体"/>
                <w:sz w:val="24"/>
              </w:rPr>
            </w:pPr>
            <w:r>
              <w:rPr>
                <w:rFonts w:ascii="宋体" w:hAnsi="宋体" w:cs="宋体"/>
                <w:sz w:val="24"/>
              </w:rPr>
              <w:t>当评标价得分为负时，均按0分计算。评标价得分保留小数点后两位，小数点后三位“四舍五入”。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5000" w:type="pct"/>
            <w:gridSpan w:val="4"/>
            <w:tcBorders>
              <w:top w:val="single" w:color="auto" w:sz="4" w:space="0"/>
              <w:bottom w:val="single" w:color="auto" w:sz="4" w:space="0"/>
              <w:right w:val="single" w:color="auto" w:sz="4" w:space="0"/>
            </w:tcBorders>
            <w:vAlign w:val="center"/>
          </w:tcPr>
          <w:p>
            <w:pPr>
              <w:widowControl/>
              <w:spacing w:line="360" w:lineRule="auto"/>
              <w:jc w:val="left"/>
              <w:rPr>
                <w:rFonts w:ascii="宋体" w:hAnsi="宋体" w:cs="宋体"/>
                <w:sz w:val="24"/>
              </w:rPr>
            </w:pPr>
            <w:r>
              <w:rPr>
                <w:rFonts w:hint="eastAsia" w:ascii="宋体" w:hAnsi="宋体" w:cs="宋体"/>
                <w:sz w:val="24"/>
              </w:rPr>
              <w:t>（1）公共建筑项目：是指办公建筑（包括写字楼、政府部门办公大楼等），商业建筑（如商场、金融建筑等），旅游建筑（如酒店、娱乐场所等），科教文卫建筑（包括文化、教育、科研、医疗、卫生、体育建筑等），通信建筑（如邮电、通讯、广播用房）、交通运输类建筑（如机场、高铁站、火车站、汽车站、冷藏库等）以及其他（派出所、仓库、拘留所）等。</w:t>
            </w:r>
          </w:p>
          <w:p>
            <w:pPr>
              <w:widowControl/>
              <w:spacing w:line="360" w:lineRule="auto"/>
              <w:jc w:val="left"/>
              <w:rPr>
                <w:rFonts w:ascii="宋体" w:hAnsi="宋体" w:cs="宋体"/>
                <w:sz w:val="24"/>
              </w:rPr>
            </w:pPr>
            <w:r>
              <w:rPr>
                <w:rFonts w:hint="eastAsia" w:ascii="宋体" w:hAnsi="宋体" w:cs="宋体"/>
                <w:sz w:val="24"/>
              </w:rPr>
              <w:t>（2）招标文件中项目负责人即设计项目负责人。</w:t>
            </w:r>
          </w:p>
        </w:tc>
      </w:tr>
    </w:tbl>
    <w:p>
      <w:pPr>
        <w:snapToGrid w:val="0"/>
        <w:ind w:firstLine="480" w:firstLineChars="200"/>
        <w:jc w:val="left"/>
        <w:rPr>
          <w:rFonts w:hAnsi="宋体"/>
          <w:sz w:val="24"/>
          <w:szCs w:val="28"/>
        </w:rPr>
      </w:pPr>
    </w:p>
    <w:sectPr>
      <w:headerReference r:id="rId5" w:type="default"/>
      <w:footerReference r:id="rId6" w:type="default"/>
      <w:footerReference r:id="rId7" w:type="even"/>
      <w:pgSz w:w="11907" w:h="16840"/>
      <w:pgMar w:top="1440" w:right="1247" w:bottom="1440" w:left="1247" w:header="851" w:footer="992" w:gutter="0"/>
      <w:cols w:space="720" w:num="1"/>
      <w:docGrid w:linePitch="303"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23 1" w:date="2024-01-03T21:50:00Z" w:initials="21">
    <w:p w14:paraId="4F3E6898">
      <w:pPr>
        <w:pStyle w:val="19"/>
      </w:pPr>
      <w:r>
        <w:rPr>
          <w:rFonts w:hint="eastAsia"/>
        </w:rPr>
        <w:t>此处为关于与分包商对接问题的内容</w:t>
      </w:r>
    </w:p>
  </w:comment>
  <w:comment w:id="1" w:author="23 1" w:date="2024-01-03T21:51:00Z" w:initials="21">
    <w:p w14:paraId="72AE1E3A">
      <w:pPr>
        <w:pStyle w:val="19"/>
      </w:pPr>
      <w:r>
        <w:rPr>
          <w:rFonts w:hint="eastAsia"/>
        </w:rPr>
        <w:t>深度为新增内容。按会上说的要求施工图深度要求增加的。</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4F3E6898" w15:done="0"/>
  <w15:commentEx w15:paraId="72AE1E3A"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FDDA4F7-DCE3-483E-9D42-722F83D261C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monospace">
    <w:altName w:val="宋体"/>
    <w:panose1 w:val="00000000000000000000"/>
    <w:charset w:val="00"/>
    <w:family w:val="auto"/>
    <w:pitch w:val="default"/>
    <w:sig w:usb0="00000000" w:usb1="00000000" w:usb2="00000000" w:usb3="00000000" w:csb0="00000000" w:csb1="00000000"/>
  </w:font>
  <w:font w:name="Arial Unicode MS">
    <w:panose1 w:val="020B0604020202020204"/>
    <w:charset w:val="86"/>
    <w:family w:val="swiss"/>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幼圆">
    <w:panose1 w:val="02010509060101010101"/>
    <w:charset w:val="86"/>
    <w:family w:val="modern"/>
    <w:pitch w:val="default"/>
    <w:sig w:usb0="00000001" w:usb1="080E0000" w:usb2="00000000" w:usb3="00000000" w:csb0="00040000" w:csb1="00000000"/>
  </w:font>
  <w:font w:name="MingLiU">
    <w:altName w:val="PMingLiU-ExtB"/>
    <w:panose1 w:val="02010609000101010101"/>
    <w:charset w:val="88"/>
    <w:family w:val="modern"/>
    <w:pitch w:val="default"/>
    <w:sig w:usb0="00000000" w:usb1="00000000" w:usb2="00000016" w:usb3="00000000" w:csb0="00100001" w:csb1="00000000"/>
  </w:font>
  <w:font w:name="方正小标宋简体">
    <w:panose1 w:val="02000000000000000000"/>
    <w:charset w:val="86"/>
    <w:family w:val="auto"/>
    <w:pitch w:val="default"/>
    <w:sig w:usb0="00000001" w:usb1="08000000" w:usb2="00000000" w:usb3="00000000" w:csb0="00040000" w:csb1="00000000"/>
    <w:embedRegular r:id="rId2" w:fontKey="{8F8843FA-5EA1-457A-A817-15B8AFBA5824}"/>
  </w:font>
  <w:font w:name="仿宋">
    <w:panose1 w:val="02010609060101010101"/>
    <w:charset w:val="86"/>
    <w:family w:val="modern"/>
    <w:pitch w:val="default"/>
    <w:sig w:usb0="800002BF" w:usb1="38CF7CFA" w:usb2="00000016" w:usb3="00000000" w:csb0="00040001" w:csb1="00000000"/>
    <w:embedRegular r:id="rId3" w:fontKey="{16E1BA3F-80F2-4A1B-AC0F-12077D795391}"/>
  </w:font>
  <w:font w:name="Leelawadee UI">
    <w:panose1 w:val="020B0502040204020203"/>
    <w:charset w:val="00"/>
    <w:family w:val="swiss"/>
    <w:pitch w:val="default"/>
    <w:sig w:usb0="83000003" w:usb1="00000000" w:usb2="00010000" w:usb3="00000001" w:csb0="00010101" w:csb1="00000000"/>
    <w:embedRegular r:id="rId4" w:fontKey="{B056D733-3C4D-4ACA-BDE8-78FF7317DB1B}"/>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framePr w:wrap="around" w:vAnchor="text" w:hAnchor="margin" w:xAlign="center" w:y="1"/>
      <w:rPr>
        <w:rStyle w:val="54"/>
      </w:rPr>
    </w:pPr>
    <w:r>
      <w:rPr>
        <w:rStyle w:val="54"/>
      </w:rPr>
      <w:fldChar w:fldCharType="begin"/>
    </w:r>
    <w:r>
      <w:rPr>
        <w:rStyle w:val="54"/>
      </w:rPr>
      <w:instrText xml:space="preserve">PAGE  </w:instrText>
    </w:r>
    <w:r>
      <w:rPr>
        <w:rStyle w:val="54"/>
      </w:rPr>
      <w:fldChar w:fldCharType="separate"/>
    </w:r>
    <w:r>
      <w:rPr>
        <w:rStyle w:val="54"/>
      </w:rPr>
      <w:t>14</w:t>
    </w:r>
    <w:r>
      <w:rPr>
        <w:rStyle w:val="54"/>
      </w:rPr>
      <w:fldChar w:fldCharType="end"/>
    </w:r>
  </w:p>
  <w:p>
    <w:pPr>
      <w:pStyle w:val="3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framePr w:wrap="around" w:vAnchor="text" w:hAnchor="margin" w:xAlign="center" w:y="1"/>
      <w:rPr>
        <w:rStyle w:val="54"/>
      </w:rPr>
    </w:pPr>
    <w:r>
      <w:rPr>
        <w:rStyle w:val="54"/>
      </w:rPr>
      <w:fldChar w:fldCharType="begin"/>
    </w:r>
    <w:r>
      <w:rPr>
        <w:rStyle w:val="54"/>
      </w:rPr>
      <w:instrText xml:space="preserve">PAGE  </w:instrText>
    </w:r>
    <w:r>
      <w:rPr>
        <w:rStyle w:val="54"/>
      </w:rPr>
      <w:fldChar w:fldCharType="end"/>
    </w:r>
  </w:p>
  <w:p>
    <w:pPr>
      <w:pStyle w:val="3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pBdr>
        <w:bottom w:val="none" w:color="auto" w:sz="0" w:space="1"/>
      </w:pBdr>
      <w:jc w:val="left"/>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23 1">
    <w15:presenceInfo w15:providerId="Windows Live" w15:userId="74b11495a04c9bb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revisionView w:markup="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Y3NzVmNzFmYTU4Njc0NmE0MzE5MDE2ZmYzM2UxOTMifQ=="/>
  </w:docVars>
  <w:rsids>
    <w:rsidRoot w:val="00172A27"/>
    <w:rsid w:val="000047B9"/>
    <w:rsid w:val="000109CE"/>
    <w:rsid w:val="000139B5"/>
    <w:rsid w:val="00042F4A"/>
    <w:rsid w:val="00044243"/>
    <w:rsid w:val="00045B11"/>
    <w:rsid w:val="000538BF"/>
    <w:rsid w:val="00054159"/>
    <w:rsid w:val="0008680A"/>
    <w:rsid w:val="000A0101"/>
    <w:rsid w:val="000B214F"/>
    <w:rsid w:val="000B2D0F"/>
    <w:rsid w:val="000B6544"/>
    <w:rsid w:val="000E0BE2"/>
    <w:rsid w:val="000E1504"/>
    <w:rsid w:val="000E2ADD"/>
    <w:rsid w:val="000F5E57"/>
    <w:rsid w:val="00101786"/>
    <w:rsid w:val="00120603"/>
    <w:rsid w:val="001344F9"/>
    <w:rsid w:val="00144BD6"/>
    <w:rsid w:val="00163386"/>
    <w:rsid w:val="00170145"/>
    <w:rsid w:val="00172A27"/>
    <w:rsid w:val="00181704"/>
    <w:rsid w:val="0018295C"/>
    <w:rsid w:val="00186469"/>
    <w:rsid w:val="001C33BF"/>
    <w:rsid w:val="001C3A9C"/>
    <w:rsid w:val="001C3F1F"/>
    <w:rsid w:val="001D0F42"/>
    <w:rsid w:val="001D18D9"/>
    <w:rsid w:val="001D4814"/>
    <w:rsid w:val="001D67C5"/>
    <w:rsid w:val="001E7503"/>
    <w:rsid w:val="001F2204"/>
    <w:rsid w:val="001F6F46"/>
    <w:rsid w:val="00204B15"/>
    <w:rsid w:val="00220667"/>
    <w:rsid w:val="00225FFB"/>
    <w:rsid w:val="0022646F"/>
    <w:rsid w:val="0024662C"/>
    <w:rsid w:val="00247D75"/>
    <w:rsid w:val="0025702B"/>
    <w:rsid w:val="002640E0"/>
    <w:rsid w:val="002656E8"/>
    <w:rsid w:val="00266A41"/>
    <w:rsid w:val="00272961"/>
    <w:rsid w:val="00274C01"/>
    <w:rsid w:val="002758F9"/>
    <w:rsid w:val="002775C5"/>
    <w:rsid w:val="00292611"/>
    <w:rsid w:val="002C6A3C"/>
    <w:rsid w:val="002D782F"/>
    <w:rsid w:val="002E6B21"/>
    <w:rsid w:val="002F5E54"/>
    <w:rsid w:val="002F7131"/>
    <w:rsid w:val="0030134F"/>
    <w:rsid w:val="003104DA"/>
    <w:rsid w:val="00313920"/>
    <w:rsid w:val="00321ADC"/>
    <w:rsid w:val="0033733C"/>
    <w:rsid w:val="00340224"/>
    <w:rsid w:val="003512EB"/>
    <w:rsid w:val="00361262"/>
    <w:rsid w:val="00367CF6"/>
    <w:rsid w:val="00370B2B"/>
    <w:rsid w:val="00371A14"/>
    <w:rsid w:val="003946D1"/>
    <w:rsid w:val="003A74C8"/>
    <w:rsid w:val="003C264F"/>
    <w:rsid w:val="003D1B5D"/>
    <w:rsid w:val="003D366C"/>
    <w:rsid w:val="004144FB"/>
    <w:rsid w:val="004158D5"/>
    <w:rsid w:val="00426CE6"/>
    <w:rsid w:val="00430F2E"/>
    <w:rsid w:val="004E0BF9"/>
    <w:rsid w:val="004E5769"/>
    <w:rsid w:val="005078D1"/>
    <w:rsid w:val="00517EF2"/>
    <w:rsid w:val="00524098"/>
    <w:rsid w:val="0053521B"/>
    <w:rsid w:val="00542A28"/>
    <w:rsid w:val="00547F21"/>
    <w:rsid w:val="0055566A"/>
    <w:rsid w:val="00562A8B"/>
    <w:rsid w:val="00580AFD"/>
    <w:rsid w:val="00587E14"/>
    <w:rsid w:val="0059250C"/>
    <w:rsid w:val="005B6905"/>
    <w:rsid w:val="005C4493"/>
    <w:rsid w:val="005D4D73"/>
    <w:rsid w:val="005F0C38"/>
    <w:rsid w:val="005F6D62"/>
    <w:rsid w:val="005F7371"/>
    <w:rsid w:val="00606C47"/>
    <w:rsid w:val="006145C0"/>
    <w:rsid w:val="00615AA3"/>
    <w:rsid w:val="00644061"/>
    <w:rsid w:val="00644A36"/>
    <w:rsid w:val="00663E69"/>
    <w:rsid w:val="0068407C"/>
    <w:rsid w:val="00685962"/>
    <w:rsid w:val="00692D8E"/>
    <w:rsid w:val="006B00E5"/>
    <w:rsid w:val="006B0DED"/>
    <w:rsid w:val="006C6CDC"/>
    <w:rsid w:val="006E420E"/>
    <w:rsid w:val="006F1193"/>
    <w:rsid w:val="00702ECF"/>
    <w:rsid w:val="00730385"/>
    <w:rsid w:val="0075489A"/>
    <w:rsid w:val="00774BF1"/>
    <w:rsid w:val="0079297F"/>
    <w:rsid w:val="00794A7E"/>
    <w:rsid w:val="007A01C6"/>
    <w:rsid w:val="007A22B4"/>
    <w:rsid w:val="007B10A7"/>
    <w:rsid w:val="007B1BCC"/>
    <w:rsid w:val="007B4F57"/>
    <w:rsid w:val="007C388E"/>
    <w:rsid w:val="007D23F6"/>
    <w:rsid w:val="007D74E0"/>
    <w:rsid w:val="0082231E"/>
    <w:rsid w:val="00830E37"/>
    <w:rsid w:val="00831553"/>
    <w:rsid w:val="008441E7"/>
    <w:rsid w:val="00855098"/>
    <w:rsid w:val="008563B2"/>
    <w:rsid w:val="008660C8"/>
    <w:rsid w:val="00870F56"/>
    <w:rsid w:val="00875C52"/>
    <w:rsid w:val="008B26C9"/>
    <w:rsid w:val="008B292C"/>
    <w:rsid w:val="008C1E8D"/>
    <w:rsid w:val="008C5C7D"/>
    <w:rsid w:val="008D3188"/>
    <w:rsid w:val="008F7DA3"/>
    <w:rsid w:val="00901379"/>
    <w:rsid w:val="009021C3"/>
    <w:rsid w:val="00913E7A"/>
    <w:rsid w:val="009352CE"/>
    <w:rsid w:val="00942149"/>
    <w:rsid w:val="0094627C"/>
    <w:rsid w:val="009538B3"/>
    <w:rsid w:val="00954844"/>
    <w:rsid w:val="009866B8"/>
    <w:rsid w:val="00997B3E"/>
    <w:rsid w:val="009A5296"/>
    <w:rsid w:val="009A7C06"/>
    <w:rsid w:val="009B1E53"/>
    <w:rsid w:val="009B5B13"/>
    <w:rsid w:val="009B7877"/>
    <w:rsid w:val="009D2242"/>
    <w:rsid w:val="009D66FF"/>
    <w:rsid w:val="00A07F3F"/>
    <w:rsid w:val="00A12FA0"/>
    <w:rsid w:val="00A149CC"/>
    <w:rsid w:val="00A256B5"/>
    <w:rsid w:val="00A2764C"/>
    <w:rsid w:val="00A31111"/>
    <w:rsid w:val="00A41023"/>
    <w:rsid w:val="00A4310F"/>
    <w:rsid w:val="00A57903"/>
    <w:rsid w:val="00A6243C"/>
    <w:rsid w:val="00A73AC4"/>
    <w:rsid w:val="00A97441"/>
    <w:rsid w:val="00A97574"/>
    <w:rsid w:val="00AA5055"/>
    <w:rsid w:val="00AB3A74"/>
    <w:rsid w:val="00AB6295"/>
    <w:rsid w:val="00AC22B0"/>
    <w:rsid w:val="00AE2452"/>
    <w:rsid w:val="00AF7AE0"/>
    <w:rsid w:val="00B02BCD"/>
    <w:rsid w:val="00B039DA"/>
    <w:rsid w:val="00B07772"/>
    <w:rsid w:val="00B11CB4"/>
    <w:rsid w:val="00B51641"/>
    <w:rsid w:val="00B51B40"/>
    <w:rsid w:val="00B77337"/>
    <w:rsid w:val="00B83AD7"/>
    <w:rsid w:val="00B8433F"/>
    <w:rsid w:val="00B9145D"/>
    <w:rsid w:val="00B91664"/>
    <w:rsid w:val="00BA2805"/>
    <w:rsid w:val="00BA2EE6"/>
    <w:rsid w:val="00BC38EB"/>
    <w:rsid w:val="00BD4B82"/>
    <w:rsid w:val="00BD77F8"/>
    <w:rsid w:val="00BE22E6"/>
    <w:rsid w:val="00BE405B"/>
    <w:rsid w:val="00BF7AF2"/>
    <w:rsid w:val="00C27465"/>
    <w:rsid w:val="00C278EE"/>
    <w:rsid w:val="00C60C98"/>
    <w:rsid w:val="00C646BE"/>
    <w:rsid w:val="00C64C7A"/>
    <w:rsid w:val="00C97F32"/>
    <w:rsid w:val="00CA5213"/>
    <w:rsid w:val="00CB5003"/>
    <w:rsid w:val="00CB7D6B"/>
    <w:rsid w:val="00CE0B84"/>
    <w:rsid w:val="00D124BF"/>
    <w:rsid w:val="00D2041D"/>
    <w:rsid w:val="00D26AE9"/>
    <w:rsid w:val="00D40529"/>
    <w:rsid w:val="00D45715"/>
    <w:rsid w:val="00D47C9E"/>
    <w:rsid w:val="00D674AC"/>
    <w:rsid w:val="00D7400A"/>
    <w:rsid w:val="00D84EC0"/>
    <w:rsid w:val="00DB763A"/>
    <w:rsid w:val="00DC3769"/>
    <w:rsid w:val="00DC3E66"/>
    <w:rsid w:val="00DF1699"/>
    <w:rsid w:val="00E020E1"/>
    <w:rsid w:val="00E039F2"/>
    <w:rsid w:val="00E0623A"/>
    <w:rsid w:val="00E0682F"/>
    <w:rsid w:val="00E26534"/>
    <w:rsid w:val="00E33FF3"/>
    <w:rsid w:val="00E54731"/>
    <w:rsid w:val="00E66E81"/>
    <w:rsid w:val="00E70052"/>
    <w:rsid w:val="00E86F90"/>
    <w:rsid w:val="00E900A1"/>
    <w:rsid w:val="00E9398B"/>
    <w:rsid w:val="00E954E9"/>
    <w:rsid w:val="00EB22D6"/>
    <w:rsid w:val="00ED7FC5"/>
    <w:rsid w:val="00EF3E52"/>
    <w:rsid w:val="00F026EC"/>
    <w:rsid w:val="00F06DA0"/>
    <w:rsid w:val="00F073E5"/>
    <w:rsid w:val="00F34CBD"/>
    <w:rsid w:val="00F635AC"/>
    <w:rsid w:val="00F8138F"/>
    <w:rsid w:val="00F95201"/>
    <w:rsid w:val="00FA6F7E"/>
    <w:rsid w:val="00FE0FA1"/>
    <w:rsid w:val="00FF57F7"/>
    <w:rsid w:val="00FF58DA"/>
    <w:rsid w:val="05C43522"/>
    <w:rsid w:val="063B4CDB"/>
    <w:rsid w:val="0F0D1105"/>
    <w:rsid w:val="14760C3D"/>
    <w:rsid w:val="18ED129E"/>
    <w:rsid w:val="1F566F76"/>
    <w:rsid w:val="200D6D9D"/>
    <w:rsid w:val="206719DD"/>
    <w:rsid w:val="27B95057"/>
    <w:rsid w:val="2BFF6F58"/>
    <w:rsid w:val="2D8933E1"/>
    <w:rsid w:val="31F33239"/>
    <w:rsid w:val="324D50E3"/>
    <w:rsid w:val="3FB429FE"/>
    <w:rsid w:val="461A2CA8"/>
    <w:rsid w:val="467D7109"/>
    <w:rsid w:val="4DC11665"/>
    <w:rsid w:val="542C7806"/>
    <w:rsid w:val="56C41DD7"/>
    <w:rsid w:val="58B24661"/>
    <w:rsid w:val="59E73851"/>
    <w:rsid w:val="5D6E48CE"/>
    <w:rsid w:val="5F321939"/>
    <w:rsid w:val="68621B60"/>
    <w:rsid w:val="729D1A86"/>
    <w:rsid w:val="77DD5C77"/>
    <w:rsid w:val="78911F20"/>
    <w:rsid w:val="7FF925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9"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99"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87"/>
    <w:qFormat/>
    <w:uiPriority w:val="0"/>
    <w:pPr>
      <w:keepNext/>
      <w:keepLines/>
      <w:spacing w:before="240" w:after="240" w:line="360" w:lineRule="auto"/>
      <w:outlineLvl w:val="0"/>
    </w:pPr>
    <w:rPr>
      <w:b/>
      <w:bCs/>
      <w:kern w:val="44"/>
      <w:sz w:val="44"/>
      <w:szCs w:val="44"/>
    </w:rPr>
  </w:style>
  <w:style w:type="paragraph" w:styleId="3">
    <w:name w:val="heading 2"/>
    <w:basedOn w:val="1"/>
    <w:next w:val="1"/>
    <w:link w:val="88"/>
    <w:unhideWhenUsed/>
    <w:qFormat/>
    <w:uiPriority w:val="0"/>
    <w:pPr>
      <w:keepNext/>
      <w:keepLines/>
      <w:spacing w:before="260" w:after="260" w:line="416" w:lineRule="auto"/>
      <w:outlineLvl w:val="1"/>
    </w:pPr>
    <w:rPr>
      <w:rFonts w:ascii="等线 Light" w:hAnsi="等线 Light" w:eastAsia="等线 Light"/>
      <w:b/>
      <w:bCs/>
      <w:sz w:val="32"/>
      <w:szCs w:val="32"/>
    </w:rPr>
  </w:style>
  <w:style w:type="paragraph" w:styleId="4">
    <w:name w:val="heading 3"/>
    <w:basedOn w:val="1"/>
    <w:next w:val="1"/>
    <w:link w:val="89"/>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112"/>
    <w:autoRedefine/>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113"/>
    <w:qFormat/>
    <w:uiPriority w:val="0"/>
    <w:pPr>
      <w:keepNext/>
      <w:outlineLvl w:val="4"/>
    </w:pPr>
    <w:rPr>
      <w:rFonts w:ascii="宋体" w:hAnsi="Arial"/>
      <w:bCs/>
      <w:sz w:val="28"/>
      <w:szCs w:val="20"/>
    </w:rPr>
  </w:style>
  <w:style w:type="paragraph" w:styleId="7">
    <w:name w:val="heading 6"/>
    <w:basedOn w:val="1"/>
    <w:next w:val="1"/>
    <w:link w:val="114"/>
    <w:qFormat/>
    <w:uiPriority w:val="0"/>
    <w:pPr>
      <w:keepNext/>
      <w:autoSpaceDE w:val="0"/>
      <w:autoSpaceDN w:val="0"/>
      <w:adjustRightInd w:val="0"/>
      <w:spacing w:before="120" w:beforeLines="50" w:after="120" w:afterLines="50" w:line="300" w:lineRule="exact"/>
      <w:jc w:val="center"/>
      <w:outlineLvl w:val="5"/>
    </w:pPr>
    <w:rPr>
      <w:rFonts w:ascii="宋体" w:hAnsi="宋体"/>
      <w:kern w:val="0"/>
      <w:sz w:val="28"/>
      <w:szCs w:val="20"/>
    </w:rPr>
  </w:style>
  <w:style w:type="paragraph" w:styleId="8">
    <w:name w:val="heading 7"/>
    <w:basedOn w:val="1"/>
    <w:next w:val="1"/>
    <w:link w:val="115"/>
    <w:qFormat/>
    <w:uiPriority w:val="0"/>
    <w:pPr>
      <w:keepNext/>
      <w:keepLines/>
      <w:spacing w:before="240" w:after="64" w:line="320" w:lineRule="auto"/>
      <w:ind w:right="-24" w:rightChars="-10" w:firstLine="464" w:firstLineChars="225"/>
      <w:jc w:val="left"/>
      <w:outlineLvl w:val="6"/>
    </w:pPr>
    <w:rPr>
      <w:rFonts w:ascii="Arial" w:hAnsi="Arial" w:eastAsia="仿宋_GB2312" w:cs="Arial"/>
      <w:b/>
      <w:bCs/>
      <w:spacing w:val="-4"/>
      <w:sz w:val="24"/>
    </w:rPr>
  </w:style>
  <w:style w:type="paragraph" w:styleId="9">
    <w:name w:val="heading 9"/>
    <w:basedOn w:val="1"/>
    <w:next w:val="1"/>
    <w:link w:val="90"/>
    <w:unhideWhenUsed/>
    <w:qFormat/>
    <w:uiPriority w:val="9"/>
    <w:pPr>
      <w:keepNext/>
      <w:keepLines/>
      <w:spacing w:before="240" w:after="64" w:line="320" w:lineRule="auto"/>
      <w:outlineLvl w:val="8"/>
    </w:pPr>
    <w:rPr>
      <w:rFonts w:ascii="等线 Light" w:hAnsi="等线 Light" w:eastAsia="等线 Light"/>
      <w:szCs w:val="21"/>
    </w:rPr>
  </w:style>
  <w:style w:type="character" w:default="1" w:styleId="52">
    <w:name w:val="Default Paragraph Font"/>
    <w:semiHidden/>
    <w:unhideWhenUsed/>
    <w:uiPriority w:val="1"/>
  </w:style>
  <w:style w:type="table" w:default="1" w:styleId="50">
    <w:name w:val="Normal Table"/>
    <w:autoRedefine/>
    <w:semiHidden/>
    <w:unhideWhenUsed/>
    <w:qFormat/>
    <w:uiPriority w:val="99"/>
    <w:tblPr>
      <w:tblCellMar>
        <w:top w:w="0" w:type="dxa"/>
        <w:left w:w="108" w:type="dxa"/>
        <w:bottom w:w="0" w:type="dxa"/>
        <w:right w:w="108" w:type="dxa"/>
      </w:tblCellMar>
    </w:tblPr>
  </w:style>
  <w:style w:type="paragraph" w:styleId="10">
    <w:name w:val="List 3"/>
    <w:basedOn w:val="1"/>
    <w:qFormat/>
    <w:uiPriority w:val="0"/>
    <w:pPr>
      <w:tabs>
        <w:tab w:val="left" w:pos="360"/>
      </w:tabs>
      <w:ind w:left="100" w:leftChars="400" w:hanging="200" w:hangingChars="200"/>
    </w:pPr>
    <w:rPr>
      <w:szCs w:val="20"/>
    </w:rPr>
  </w:style>
  <w:style w:type="paragraph" w:styleId="11">
    <w:name w:val="toc 7"/>
    <w:basedOn w:val="1"/>
    <w:next w:val="1"/>
    <w:qFormat/>
    <w:uiPriority w:val="0"/>
    <w:pPr>
      <w:ind w:left="1260"/>
      <w:jc w:val="left"/>
    </w:pPr>
    <w:rPr>
      <w:szCs w:val="21"/>
    </w:rPr>
  </w:style>
  <w:style w:type="paragraph" w:styleId="12">
    <w:name w:val="table of authorities"/>
    <w:basedOn w:val="1"/>
    <w:next w:val="1"/>
    <w:autoRedefine/>
    <w:qFormat/>
    <w:uiPriority w:val="0"/>
    <w:pPr>
      <w:ind w:left="420" w:leftChars="200"/>
    </w:pPr>
    <w:rPr>
      <w:szCs w:val="20"/>
    </w:rPr>
  </w:style>
  <w:style w:type="paragraph" w:styleId="13">
    <w:name w:val="index 8"/>
    <w:basedOn w:val="1"/>
    <w:next w:val="1"/>
    <w:qFormat/>
    <w:uiPriority w:val="0"/>
    <w:pPr>
      <w:ind w:left="1400" w:leftChars="1400"/>
    </w:pPr>
    <w:rPr>
      <w:szCs w:val="20"/>
    </w:rPr>
  </w:style>
  <w:style w:type="paragraph" w:styleId="14">
    <w:name w:val="Normal Indent"/>
    <w:basedOn w:val="15"/>
    <w:qFormat/>
    <w:uiPriority w:val="0"/>
    <w:pPr>
      <w:ind w:firstLine="420" w:firstLineChars="200"/>
    </w:pPr>
  </w:style>
  <w:style w:type="paragraph" w:customStyle="1" w:styleId="15">
    <w:name w:val="正文_0"/>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16">
    <w:name w:val="index 5"/>
    <w:basedOn w:val="1"/>
    <w:next w:val="1"/>
    <w:autoRedefine/>
    <w:qFormat/>
    <w:uiPriority w:val="0"/>
    <w:pPr>
      <w:ind w:left="800" w:leftChars="800"/>
    </w:pPr>
    <w:rPr>
      <w:szCs w:val="20"/>
    </w:rPr>
  </w:style>
  <w:style w:type="paragraph" w:styleId="17">
    <w:name w:val="Document Map"/>
    <w:basedOn w:val="1"/>
    <w:link w:val="121"/>
    <w:autoRedefine/>
    <w:qFormat/>
    <w:uiPriority w:val="0"/>
    <w:pPr>
      <w:shd w:val="clear" w:color="auto" w:fill="000080"/>
    </w:pPr>
    <w:rPr>
      <w:szCs w:val="20"/>
    </w:rPr>
  </w:style>
  <w:style w:type="paragraph" w:styleId="18">
    <w:name w:val="toa heading"/>
    <w:basedOn w:val="1"/>
    <w:next w:val="1"/>
    <w:qFormat/>
    <w:uiPriority w:val="0"/>
    <w:pPr>
      <w:spacing w:before="120"/>
    </w:pPr>
    <w:rPr>
      <w:rFonts w:ascii="Arial" w:hAnsi="Arial"/>
      <w:b/>
      <w:bCs/>
    </w:rPr>
  </w:style>
  <w:style w:type="paragraph" w:styleId="19">
    <w:name w:val="annotation text"/>
    <w:basedOn w:val="1"/>
    <w:link w:val="102"/>
    <w:autoRedefine/>
    <w:qFormat/>
    <w:uiPriority w:val="0"/>
    <w:pPr>
      <w:jc w:val="left"/>
    </w:pPr>
    <w:rPr>
      <w:szCs w:val="20"/>
    </w:rPr>
  </w:style>
  <w:style w:type="paragraph" w:styleId="20">
    <w:name w:val="index 6"/>
    <w:basedOn w:val="1"/>
    <w:next w:val="1"/>
    <w:qFormat/>
    <w:uiPriority w:val="0"/>
    <w:pPr>
      <w:ind w:left="1000" w:leftChars="1000"/>
    </w:pPr>
    <w:rPr>
      <w:szCs w:val="20"/>
    </w:rPr>
  </w:style>
  <w:style w:type="paragraph" w:styleId="21">
    <w:name w:val="Body Text 3"/>
    <w:basedOn w:val="1"/>
    <w:link w:val="122"/>
    <w:qFormat/>
    <w:uiPriority w:val="0"/>
    <w:rPr>
      <w:rFonts w:ascii="黑体" w:hAnsi="Arial" w:eastAsia="黑体"/>
      <w:b/>
      <w:sz w:val="28"/>
      <w:szCs w:val="20"/>
    </w:rPr>
  </w:style>
  <w:style w:type="paragraph" w:styleId="22">
    <w:name w:val="Body Text"/>
    <w:basedOn w:val="1"/>
    <w:link w:val="133"/>
    <w:autoRedefine/>
    <w:qFormat/>
    <w:uiPriority w:val="0"/>
    <w:rPr>
      <w:rFonts w:ascii="宋体" w:hAnsi="Arial"/>
      <w:sz w:val="28"/>
      <w:szCs w:val="20"/>
    </w:rPr>
  </w:style>
  <w:style w:type="paragraph" w:styleId="23">
    <w:name w:val="Body Text Indent"/>
    <w:basedOn w:val="1"/>
    <w:link w:val="99"/>
    <w:qFormat/>
    <w:uiPriority w:val="0"/>
    <w:pPr>
      <w:ind w:firstLine="645"/>
    </w:pPr>
    <w:rPr>
      <w:rFonts w:ascii="楷体_GB2312" w:eastAsia="楷体_GB2312"/>
      <w:kern w:val="0"/>
      <w:sz w:val="32"/>
      <w:szCs w:val="20"/>
    </w:rPr>
  </w:style>
  <w:style w:type="paragraph" w:styleId="24">
    <w:name w:val="index 4"/>
    <w:basedOn w:val="1"/>
    <w:next w:val="1"/>
    <w:qFormat/>
    <w:uiPriority w:val="0"/>
    <w:pPr>
      <w:ind w:left="600" w:leftChars="600"/>
    </w:pPr>
    <w:rPr>
      <w:szCs w:val="20"/>
    </w:rPr>
  </w:style>
  <w:style w:type="paragraph" w:styleId="25">
    <w:name w:val="toc 5"/>
    <w:basedOn w:val="1"/>
    <w:next w:val="1"/>
    <w:qFormat/>
    <w:uiPriority w:val="0"/>
    <w:pPr>
      <w:ind w:left="840"/>
      <w:jc w:val="left"/>
    </w:pPr>
    <w:rPr>
      <w:szCs w:val="21"/>
    </w:rPr>
  </w:style>
  <w:style w:type="paragraph" w:styleId="26">
    <w:name w:val="toc 3"/>
    <w:basedOn w:val="1"/>
    <w:next w:val="1"/>
    <w:qFormat/>
    <w:uiPriority w:val="39"/>
    <w:pPr>
      <w:ind w:left="420"/>
      <w:jc w:val="left"/>
    </w:pPr>
    <w:rPr>
      <w:i/>
      <w:iCs/>
    </w:rPr>
  </w:style>
  <w:style w:type="paragraph" w:styleId="27">
    <w:name w:val="Plain Text"/>
    <w:basedOn w:val="1"/>
    <w:link w:val="108"/>
    <w:qFormat/>
    <w:uiPriority w:val="0"/>
    <w:rPr>
      <w:rFonts w:ascii="宋体" w:hAnsi="Courier New"/>
      <w:szCs w:val="20"/>
    </w:rPr>
  </w:style>
  <w:style w:type="paragraph" w:styleId="28">
    <w:name w:val="toc 8"/>
    <w:basedOn w:val="1"/>
    <w:next w:val="1"/>
    <w:qFormat/>
    <w:uiPriority w:val="0"/>
    <w:pPr>
      <w:ind w:left="1470"/>
      <w:jc w:val="left"/>
    </w:pPr>
    <w:rPr>
      <w:szCs w:val="21"/>
    </w:rPr>
  </w:style>
  <w:style w:type="paragraph" w:styleId="29">
    <w:name w:val="index 3"/>
    <w:basedOn w:val="1"/>
    <w:next w:val="1"/>
    <w:autoRedefine/>
    <w:qFormat/>
    <w:uiPriority w:val="0"/>
    <w:pPr>
      <w:ind w:left="400" w:leftChars="400"/>
    </w:pPr>
    <w:rPr>
      <w:szCs w:val="20"/>
    </w:rPr>
  </w:style>
  <w:style w:type="paragraph" w:styleId="30">
    <w:name w:val="Date"/>
    <w:basedOn w:val="1"/>
    <w:next w:val="1"/>
    <w:link w:val="118"/>
    <w:autoRedefine/>
    <w:qFormat/>
    <w:uiPriority w:val="0"/>
    <w:rPr>
      <w:b/>
      <w:sz w:val="28"/>
      <w:szCs w:val="20"/>
      <w:lang w:val="zh-CN"/>
    </w:rPr>
  </w:style>
  <w:style w:type="paragraph" w:styleId="31">
    <w:name w:val="Body Text Indent 2"/>
    <w:basedOn w:val="1"/>
    <w:link w:val="116"/>
    <w:autoRedefine/>
    <w:qFormat/>
    <w:uiPriority w:val="0"/>
    <w:pPr>
      <w:ind w:left="630" w:firstLine="645"/>
    </w:pPr>
    <w:rPr>
      <w:rFonts w:ascii="Arial" w:hAnsi="Arial" w:eastAsia="仿宋_GB2312"/>
      <w:sz w:val="32"/>
      <w:szCs w:val="20"/>
    </w:rPr>
  </w:style>
  <w:style w:type="paragraph" w:styleId="32">
    <w:name w:val="Balloon Text"/>
    <w:basedOn w:val="1"/>
    <w:link w:val="91"/>
    <w:autoRedefine/>
    <w:qFormat/>
    <w:uiPriority w:val="0"/>
    <w:rPr>
      <w:sz w:val="18"/>
      <w:szCs w:val="18"/>
    </w:rPr>
  </w:style>
  <w:style w:type="paragraph" w:styleId="33">
    <w:name w:val="footer"/>
    <w:basedOn w:val="1"/>
    <w:link w:val="101"/>
    <w:autoRedefine/>
    <w:qFormat/>
    <w:uiPriority w:val="99"/>
    <w:pPr>
      <w:tabs>
        <w:tab w:val="center" w:pos="4153"/>
        <w:tab w:val="right" w:pos="8306"/>
      </w:tabs>
      <w:snapToGrid w:val="0"/>
      <w:jc w:val="left"/>
    </w:pPr>
    <w:rPr>
      <w:sz w:val="18"/>
      <w:szCs w:val="20"/>
    </w:rPr>
  </w:style>
  <w:style w:type="paragraph" w:styleId="34">
    <w:name w:val="header"/>
    <w:basedOn w:val="1"/>
    <w:link w:val="84"/>
    <w:autoRedefine/>
    <w:qFormat/>
    <w:uiPriority w:val="99"/>
    <w:pPr>
      <w:pBdr>
        <w:bottom w:val="single" w:color="auto" w:sz="6" w:space="1"/>
      </w:pBdr>
      <w:tabs>
        <w:tab w:val="center" w:pos="4153"/>
        <w:tab w:val="right" w:pos="8306"/>
      </w:tabs>
      <w:snapToGrid w:val="0"/>
      <w:jc w:val="center"/>
    </w:pPr>
    <w:rPr>
      <w:sz w:val="18"/>
      <w:szCs w:val="18"/>
    </w:rPr>
  </w:style>
  <w:style w:type="paragraph" w:styleId="35">
    <w:name w:val="toc 1"/>
    <w:basedOn w:val="1"/>
    <w:next w:val="1"/>
    <w:autoRedefine/>
    <w:qFormat/>
    <w:uiPriority w:val="39"/>
    <w:pPr>
      <w:spacing w:before="120" w:after="120"/>
      <w:jc w:val="left"/>
    </w:pPr>
    <w:rPr>
      <w:caps/>
    </w:rPr>
  </w:style>
  <w:style w:type="paragraph" w:styleId="36">
    <w:name w:val="toc 4"/>
    <w:basedOn w:val="1"/>
    <w:next w:val="1"/>
    <w:autoRedefine/>
    <w:qFormat/>
    <w:uiPriority w:val="0"/>
    <w:pPr>
      <w:ind w:left="630"/>
      <w:jc w:val="left"/>
    </w:pPr>
    <w:rPr>
      <w:szCs w:val="21"/>
    </w:rPr>
  </w:style>
  <w:style w:type="paragraph" w:styleId="37">
    <w:name w:val="index heading"/>
    <w:basedOn w:val="1"/>
    <w:next w:val="38"/>
    <w:autoRedefine/>
    <w:qFormat/>
    <w:uiPriority w:val="99"/>
    <w:rPr>
      <w:szCs w:val="20"/>
    </w:rPr>
  </w:style>
  <w:style w:type="paragraph" w:styleId="38">
    <w:name w:val="index 1"/>
    <w:basedOn w:val="1"/>
    <w:next w:val="1"/>
    <w:autoRedefine/>
    <w:qFormat/>
    <w:uiPriority w:val="0"/>
    <w:pPr>
      <w:spacing w:line="360" w:lineRule="auto"/>
      <w:jc w:val="center"/>
    </w:pPr>
    <w:rPr>
      <w:rFonts w:ascii="宋体" w:hAnsi="宋体"/>
      <w:b/>
      <w:bCs/>
      <w:color w:val="FF0000"/>
      <w:sz w:val="24"/>
      <w:szCs w:val="20"/>
    </w:rPr>
  </w:style>
  <w:style w:type="paragraph" w:styleId="39">
    <w:name w:val="toc 6"/>
    <w:basedOn w:val="1"/>
    <w:next w:val="1"/>
    <w:autoRedefine/>
    <w:qFormat/>
    <w:uiPriority w:val="0"/>
    <w:pPr>
      <w:ind w:left="1050"/>
      <w:jc w:val="left"/>
    </w:pPr>
    <w:rPr>
      <w:szCs w:val="21"/>
    </w:rPr>
  </w:style>
  <w:style w:type="paragraph" w:styleId="40">
    <w:name w:val="Body Text Indent 3"/>
    <w:basedOn w:val="1"/>
    <w:link w:val="117"/>
    <w:autoRedefine/>
    <w:qFormat/>
    <w:uiPriority w:val="0"/>
    <w:pPr>
      <w:ind w:firstLine="645"/>
    </w:pPr>
    <w:rPr>
      <w:rFonts w:ascii="仿宋_GB2312" w:hAnsi="Arial" w:eastAsia="仿宋_GB2312"/>
      <w:color w:val="000000"/>
      <w:sz w:val="30"/>
      <w:szCs w:val="20"/>
    </w:rPr>
  </w:style>
  <w:style w:type="paragraph" w:styleId="41">
    <w:name w:val="index 7"/>
    <w:basedOn w:val="1"/>
    <w:next w:val="1"/>
    <w:autoRedefine/>
    <w:qFormat/>
    <w:uiPriority w:val="0"/>
    <w:pPr>
      <w:ind w:left="1200" w:leftChars="1200"/>
    </w:pPr>
    <w:rPr>
      <w:szCs w:val="20"/>
    </w:rPr>
  </w:style>
  <w:style w:type="paragraph" w:styleId="42">
    <w:name w:val="index 9"/>
    <w:basedOn w:val="1"/>
    <w:next w:val="1"/>
    <w:autoRedefine/>
    <w:qFormat/>
    <w:uiPriority w:val="0"/>
    <w:pPr>
      <w:ind w:left="1600" w:leftChars="1600"/>
    </w:pPr>
    <w:rPr>
      <w:szCs w:val="20"/>
    </w:rPr>
  </w:style>
  <w:style w:type="paragraph" w:styleId="43">
    <w:name w:val="toc 2"/>
    <w:basedOn w:val="1"/>
    <w:next w:val="1"/>
    <w:autoRedefine/>
    <w:qFormat/>
    <w:uiPriority w:val="39"/>
    <w:pPr>
      <w:ind w:left="210"/>
      <w:jc w:val="left"/>
    </w:pPr>
    <w:rPr>
      <w:smallCaps/>
      <w:sz w:val="28"/>
    </w:rPr>
  </w:style>
  <w:style w:type="paragraph" w:styleId="44">
    <w:name w:val="toc 9"/>
    <w:basedOn w:val="1"/>
    <w:next w:val="1"/>
    <w:autoRedefine/>
    <w:qFormat/>
    <w:uiPriority w:val="0"/>
    <w:pPr>
      <w:ind w:left="1680"/>
      <w:jc w:val="left"/>
    </w:pPr>
    <w:rPr>
      <w:szCs w:val="21"/>
    </w:rPr>
  </w:style>
  <w:style w:type="paragraph" w:styleId="45">
    <w:name w:val="Body Text 2"/>
    <w:basedOn w:val="1"/>
    <w:link w:val="120"/>
    <w:autoRedefine/>
    <w:qFormat/>
    <w:uiPriority w:val="0"/>
    <w:rPr>
      <w:rFonts w:ascii="仿宋_GB2312" w:eastAsia="仿宋_GB2312"/>
      <w:b/>
      <w:sz w:val="24"/>
      <w:szCs w:val="20"/>
    </w:rPr>
  </w:style>
  <w:style w:type="paragraph" w:styleId="46">
    <w:name w:val="Normal (Web)"/>
    <w:basedOn w:val="1"/>
    <w:autoRedefine/>
    <w:qFormat/>
    <w:uiPriority w:val="0"/>
    <w:pPr>
      <w:widowControl/>
      <w:spacing w:before="100" w:beforeAutospacing="1" w:after="100" w:afterAutospacing="1"/>
      <w:jc w:val="left"/>
    </w:pPr>
    <w:rPr>
      <w:rFonts w:ascii="宋体" w:hAnsi="宋体"/>
      <w:kern w:val="0"/>
      <w:sz w:val="24"/>
    </w:rPr>
  </w:style>
  <w:style w:type="paragraph" w:styleId="47">
    <w:name w:val="index 2"/>
    <w:basedOn w:val="1"/>
    <w:next w:val="1"/>
    <w:autoRedefine/>
    <w:qFormat/>
    <w:uiPriority w:val="0"/>
    <w:pPr>
      <w:ind w:left="200" w:leftChars="200"/>
    </w:pPr>
    <w:rPr>
      <w:szCs w:val="20"/>
    </w:rPr>
  </w:style>
  <w:style w:type="paragraph" w:styleId="48">
    <w:name w:val="annotation subject"/>
    <w:basedOn w:val="19"/>
    <w:next w:val="19"/>
    <w:link w:val="103"/>
    <w:autoRedefine/>
    <w:qFormat/>
    <w:uiPriority w:val="0"/>
    <w:rPr>
      <w:b/>
      <w:bCs/>
      <w:szCs w:val="24"/>
    </w:rPr>
  </w:style>
  <w:style w:type="paragraph" w:styleId="49">
    <w:name w:val="Body Text First Indent"/>
    <w:basedOn w:val="1"/>
    <w:link w:val="134"/>
    <w:autoRedefine/>
    <w:qFormat/>
    <w:uiPriority w:val="0"/>
    <w:pPr>
      <w:autoSpaceDE w:val="0"/>
      <w:autoSpaceDN w:val="0"/>
      <w:adjustRightInd w:val="0"/>
      <w:spacing w:line="360" w:lineRule="auto"/>
      <w:ind w:right="-24" w:rightChars="-10" w:firstLine="425" w:firstLineChars="225"/>
    </w:pPr>
    <w:rPr>
      <w:rFonts w:ascii="Arial" w:hAnsi="Arial" w:eastAsia="仿宋_GB2312" w:cs="Arial"/>
      <w:kern w:val="0"/>
      <w:sz w:val="24"/>
      <w:szCs w:val="32"/>
    </w:rPr>
  </w:style>
  <w:style w:type="table" w:styleId="51">
    <w:name w:val="Table Grid"/>
    <w:basedOn w:val="50"/>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3">
    <w:name w:val="Strong"/>
    <w:autoRedefine/>
    <w:qFormat/>
    <w:uiPriority w:val="22"/>
    <w:rPr>
      <w:b/>
      <w:bCs/>
    </w:rPr>
  </w:style>
  <w:style w:type="character" w:styleId="54">
    <w:name w:val="page number"/>
    <w:basedOn w:val="52"/>
    <w:autoRedefine/>
    <w:qFormat/>
    <w:uiPriority w:val="0"/>
  </w:style>
  <w:style w:type="character" w:styleId="55">
    <w:name w:val="FollowedHyperlink"/>
    <w:basedOn w:val="52"/>
    <w:autoRedefine/>
    <w:qFormat/>
    <w:uiPriority w:val="0"/>
    <w:rPr>
      <w:color w:val="800080" w:themeColor="followedHyperlink"/>
      <w:u w:val="single"/>
      <w14:textFill>
        <w14:solidFill>
          <w14:schemeClr w14:val="folHlink"/>
        </w14:solidFill>
      </w14:textFill>
    </w:rPr>
  </w:style>
  <w:style w:type="character" w:styleId="56">
    <w:name w:val="Emphasis"/>
    <w:autoRedefine/>
    <w:qFormat/>
    <w:uiPriority w:val="0"/>
    <w:rPr>
      <w:color w:val="CC0033"/>
    </w:rPr>
  </w:style>
  <w:style w:type="character" w:styleId="57">
    <w:name w:val="HTML Definition"/>
    <w:basedOn w:val="52"/>
    <w:autoRedefine/>
    <w:qFormat/>
    <w:uiPriority w:val="0"/>
  </w:style>
  <w:style w:type="character" w:styleId="58">
    <w:name w:val="HTML Typewriter"/>
    <w:basedOn w:val="52"/>
    <w:autoRedefine/>
    <w:qFormat/>
    <w:uiPriority w:val="0"/>
    <w:rPr>
      <w:rFonts w:hint="default" w:ascii="monospace" w:hAnsi="monospace" w:eastAsia="monospace" w:cs="monospace"/>
      <w:sz w:val="20"/>
    </w:rPr>
  </w:style>
  <w:style w:type="character" w:styleId="59">
    <w:name w:val="HTML Acronym"/>
    <w:basedOn w:val="52"/>
    <w:autoRedefine/>
    <w:qFormat/>
    <w:uiPriority w:val="0"/>
  </w:style>
  <w:style w:type="character" w:styleId="60">
    <w:name w:val="HTML Variable"/>
    <w:basedOn w:val="52"/>
    <w:autoRedefine/>
    <w:qFormat/>
    <w:uiPriority w:val="0"/>
  </w:style>
  <w:style w:type="character" w:styleId="61">
    <w:name w:val="Hyperlink"/>
    <w:autoRedefine/>
    <w:qFormat/>
    <w:uiPriority w:val="99"/>
    <w:rPr>
      <w:color w:val="0000FF"/>
      <w:u w:val="none"/>
    </w:rPr>
  </w:style>
  <w:style w:type="character" w:styleId="62">
    <w:name w:val="HTML Code"/>
    <w:basedOn w:val="52"/>
    <w:autoRedefine/>
    <w:qFormat/>
    <w:uiPriority w:val="0"/>
    <w:rPr>
      <w:rFonts w:ascii="monospace" w:hAnsi="monospace" w:eastAsia="monospace" w:cs="monospace"/>
      <w:sz w:val="20"/>
    </w:rPr>
  </w:style>
  <w:style w:type="character" w:styleId="63">
    <w:name w:val="annotation reference"/>
    <w:autoRedefine/>
    <w:qFormat/>
    <w:uiPriority w:val="0"/>
    <w:rPr>
      <w:sz w:val="21"/>
      <w:szCs w:val="21"/>
    </w:rPr>
  </w:style>
  <w:style w:type="character" w:styleId="64">
    <w:name w:val="HTML Cite"/>
    <w:basedOn w:val="52"/>
    <w:autoRedefine/>
    <w:qFormat/>
    <w:uiPriority w:val="0"/>
  </w:style>
  <w:style w:type="character" w:styleId="65">
    <w:name w:val="HTML Keyboard"/>
    <w:basedOn w:val="52"/>
    <w:autoRedefine/>
    <w:qFormat/>
    <w:uiPriority w:val="0"/>
    <w:rPr>
      <w:rFonts w:hint="default" w:ascii="monospace" w:hAnsi="monospace" w:eastAsia="monospace" w:cs="monospace"/>
      <w:sz w:val="20"/>
    </w:rPr>
  </w:style>
  <w:style w:type="character" w:styleId="66">
    <w:name w:val="HTML Sample"/>
    <w:basedOn w:val="52"/>
    <w:autoRedefine/>
    <w:qFormat/>
    <w:uiPriority w:val="0"/>
    <w:rPr>
      <w:rFonts w:hint="default" w:ascii="monospace" w:hAnsi="monospace" w:eastAsia="monospace" w:cs="monospace"/>
    </w:rPr>
  </w:style>
  <w:style w:type="paragraph" w:customStyle="1" w:styleId="67">
    <w:name w:val="Char Char Char Char Char Char Char Char Char Char"/>
    <w:basedOn w:val="1"/>
    <w:autoRedefine/>
    <w:qFormat/>
    <w:uiPriority w:val="0"/>
    <w:rPr>
      <w:rFonts w:eastAsia="仿宋_GB2312"/>
      <w:sz w:val="32"/>
      <w:szCs w:val="20"/>
    </w:rPr>
  </w:style>
  <w:style w:type="paragraph" w:customStyle="1" w:styleId="68">
    <w:name w:val="Char Char Char Char Char1 Char Char Char Char Char Char Char"/>
    <w:basedOn w:val="1"/>
    <w:autoRedefine/>
    <w:qFormat/>
    <w:uiPriority w:val="0"/>
  </w:style>
  <w:style w:type="paragraph" w:customStyle="1" w:styleId="69">
    <w:name w:val="p0"/>
    <w:basedOn w:val="1"/>
    <w:autoRedefine/>
    <w:qFormat/>
    <w:uiPriority w:val="0"/>
    <w:pPr>
      <w:widowControl/>
    </w:pPr>
    <w:rPr>
      <w:kern w:val="0"/>
      <w:szCs w:val="21"/>
    </w:rPr>
  </w:style>
  <w:style w:type="paragraph" w:customStyle="1" w:styleId="70">
    <w:name w:val="文档"/>
    <w:basedOn w:val="1"/>
    <w:link w:val="86"/>
    <w:autoRedefine/>
    <w:qFormat/>
    <w:uiPriority w:val="0"/>
    <w:pPr>
      <w:adjustRightInd w:val="0"/>
      <w:snapToGrid w:val="0"/>
      <w:spacing w:after="156" w:afterLines="50"/>
      <w:ind w:firstLine="480" w:firstLineChars="200"/>
      <w:jc w:val="left"/>
    </w:pPr>
    <w:rPr>
      <w:sz w:val="24"/>
    </w:rPr>
  </w:style>
  <w:style w:type="paragraph" w:customStyle="1" w:styleId="71">
    <w:name w:val="正文文本11"/>
    <w:basedOn w:val="1"/>
    <w:link w:val="92"/>
    <w:autoRedefine/>
    <w:qFormat/>
    <w:uiPriority w:val="0"/>
    <w:pPr>
      <w:shd w:val="clear" w:color="auto" w:fill="FFFFFF"/>
      <w:spacing w:line="466" w:lineRule="exact"/>
      <w:ind w:hanging="580"/>
      <w:jc w:val="distribute"/>
    </w:pPr>
    <w:rPr>
      <w:rFonts w:ascii="Arial Unicode MS" w:hAnsi="Arial Unicode MS" w:eastAsia="Arial Unicode MS" w:cs="Arial Unicode MS"/>
      <w:kern w:val="0"/>
      <w:sz w:val="22"/>
      <w:szCs w:val="22"/>
    </w:rPr>
  </w:style>
  <w:style w:type="paragraph" w:customStyle="1" w:styleId="72">
    <w:name w:val="_Style 24"/>
    <w:basedOn w:val="1"/>
    <w:autoRedefine/>
    <w:qFormat/>
    <w:uiPriority w:val="34"/>
    <w:pPr>
      <w:ind w:firstLine="420" w:firstLineChars="200"/>
    </w:pPr>
    <w:rPr>
      <w:szCs w:val="20"/>
    </w:rPr>
  </w:style>
  <w:style w:type="paragraph" w:customStyle="1" w:styleId="73">
    <w:name w:val="列出段落1"/>
    <w:basedOn w:val="1"/>
    <w:autoRedefine/>
    <w:qFormat/>
    <w:uiPriority w:val="34"/>
    <w:pPr>
      <w:ind w:firstLine="420" w:firstLineChars="200"/>
    </w:pPr>
  </w:style>
  <w:style w:type="paragraph" w:customStyle="1" w:styleId="74">
    <w:name w:val="列出段落2"/>
    <w:basedOn w:val="1"/>
    <w:autoRedefine/>
    <w:qFormat/>
    <w:uiPriority w:val="34"/>
    <w:pPr>
      <w:ind w:firstLine="420" w:firstLineChars="200"/>
    </w:pPr>
  </w:style>
  <w:style w:type="paragraph" w:customStyle="1" w:styleId="75">
    <w:name w:val="正文（缩进）"/>
    <w:basedOn w:val="1"/>
    <w:autoRedefine/>
    <w:qFormat/>
    <w:uiPriority w:val="0"/>
    <w:pPr>
      <w:widowControl/>
      <w:spacing w:before="156" w:after="156"/>
      <w:ind w:firstLine="480" w:firstLineChars="200"/>
      <w:jc w:val="left"/>
    </w:pPr>
    <w:rPr>
      <w:rFonts w:ascii="仿宋_GB2312" w:eastAsia="仿宋_GB2312"/>
      <w:kern w:val="0"/>
      <w:sz w:val="24"/>
      <w:szCs w:val="20"/>
    </w:rPr>
  </w:style>
  <w:style w:type="paragraph" w:customStyle="1" w:styleId="76">
    <w:name w:val="样式 首行缩进:  2 字符"/>
    <w:basedOn w:val="1"/>
    <w:link w:val="98"/>
    <w:autoRedefine/>
    <w:qFormat/>
    <w:uiPriority w:val="0"/>
    <w:pPr>
      <w:adjustRightInd w:val="0"/>
      <w:snapToGrid w:val="0"/>
      <w:spacing w:line="360" w:lineRule="auto"/>
      <w:ind w:firstLine="480" w:firstLineChars="200"/>
    </w:pPr>
    <w:rPr>
      <w:rFonts w:cs="宋体"/>
      <w:sz w:val="24"/>
      <w:szCs w:val="20"/>
    </w:rPr>
  </w:style>
  <w:style w:type="paragraph" w:customStyle="1" w:styleId="77">
    <w:name w:val="Char"/>
    <w:basedOn w:val="1"/>
    <w:autoRedefine/>
    <w:qFormat/>
    <w:uiPriority w:val="0"/>
    <w:pPr>
      <w:widowControl/>
      <w:spacing w:after="160" w:line="240" w:lineRule="exact"/>
      <w:jc w:val="left"/>
    </w:pPr>
    <w:rPr>
      <w:szCs w:val="20"/>
    </w:rPr>
  </w:style>
  <w:style w:type="paragraph" w:customStyle="1" w:styleId="78">
    <w:name w:val="6"/>
    <w:basedOn w:val="1"/>
    <w:autoRedefine/>
    <w:qFormat/>
    <w:uiPriority w:val="0"/>
    <w:rPr>
      <w:kern w:val="0"/>
      <w:szCs w:val="20"/>
    </w:rPr>
  </w:style>
  <w:style w:type="paragraph" w:customStyle="1" w:styleId="79">
    <w:name w:val="Char1"/>
    <w:basedOn w:val="1"/>
    <w:autoRedefine/>
    <w:qFormat/>
    <w:uiPriority w:val="0"/>
    <w:pPr>
      <w:widowControl/>
      <w:spacing w:after="160" w:line="240" w:lineRule="exact"/>
      <w:jc w:val="left"/>
    </w:pPr>
    <w:rPr>
      <w:szCs w:val="20"/>
    </w:rPr>
  </w:style>
  <w:style w:type="paragraph" w:customStyle="1" w:styleId="80">
    <w:name w:val="纯文本1"/>
    <w:basedOn w:val="1"/>
    <w:autoRedefine/>
    <w:qFormat/>
    <w:uiPriority w:val="0"/>
    <w:pPr>
      <w:widowControl/>
      <w:adjustRightInd w:val="0"/>
      <w:jc w:val="left"/>
      <w:textAlignment w:val="baseline"/>
    </w:pPr>
    <w:rPr>
      <w:rFonts w:ascii="宋体" w:hAnsi="Courier New" w:eastAsia="楷体_GB2312"/>
      <w:kern w:val="0"/>
      <w:sz w:val="26"/>
      <w:szCs w:val="20"/>
    </w:rPr>
  </w:style>
  <w:style w:type="paragraph" w:customStyle="1" w:styleId="81">
    <w:name w:val="条文 表"/>
    <w:next w:val="1"/>
    <w:autoRedefine/>
    <w:qFormat/>
    <w:uiPriority w:val="0"/>
    <w:pPr>
      <w:tabs>
        <w:tab w:val="left" w:pos="2520"/>
      </w:tabs>
      <w:ind w:left="2520" w:hanging="2520"/>
      <w:jc w:val="center"/>
    </w:pPr>
    <w:rPr>
      <w:rFonts w:ascii="Times New Roman" w:hAnsi="Times New Roman" w:eastAsia="黑体" w:cs="Times New Roman"/>
      <w:sz w:val="21"/>
      <w:lang w:val="en-US" w:eastAsia="zh-CN" w:bidi="ar-SA"/>
    </w:rPr>
  </w:style>
  <w:style w:type="paragraph" w:customStyle="1" w:styleId="82">
    <w:name w:val="Default"/>
    <w:autoRedefine/>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83">
    <w:name w:val="Char Char Char Char"/>
    <w:basedOn w:val="1"/>
    <w:autoRedefine/>
    <w:qFormat/>
    <w:uiPriority w:val="0"/>
    <w:pPr>
      <w:tabs>
        <w:tab w:val="left" w:pos="360"/>
      </w:tabs>
      <w:ind w:firstLine="420" w:firstLineChars="150"/>
    </w:pPr>
    <w:rPr>
      <w:szCs w:val="20"/>
    </w:rPr>
  </w:style>
  <w:style w:type="character" w:customStyle="1" w:styleId="84">
    <w:name w:val="页眉 字符"/>
    <w:link w:val="34"/>
    <w:autoRedefine/>
    <w:qFormat/>
    <w:uiPriority w:val="99"/>
    <w:rPr>
      <w:kern w:val="2"/>
      <w:sz w:val="18"/>
      <w:szCs w:val="18"/>
    </w:rPr>
  </w:style>
  <w:style w:type="character" w:customStyle="1" w:styleId="85">
    <w:name w:val="Char Char1"/>
    <w:autoRedefine/>
    <w:qFormat/>
    <w:uiPriority w:val="0"/>
    <w:rPr>
      <w:kern w:val="2"/>
      <w:sz w:val="18"/>
      <w:szCs w:val="18"/>
    </w:rPr>
  </w:style>
  <w:style w:type="character" w:customStyle="1" w:styleId="86">
    <w:name w:val="文档 Char"/>
    <w:link w:val="70"/>
    <w:autoRedefine/>
    <w:qFormat/>
    <w:uiPriority w:val="0"/>
    <w:rPr>
      <w:kern w:val="2"/>
      <w:sz w:val="24"/>
      <w:szCs w:val="24"/>
    </w:rPr>
  </w:style>
  <w:style w:type="character" w:customStyle="1" w:styleId="87">
    <w:name w:val="标题 1 字符"/>
    <w:link w:val="2"/>
    <w:autoRedefine/>
    <w:qFormat/>
    <w:uiPriority w:val="0"/>
    <w:rPr>
      <w:b/>
      <w:bCs/>
      <w:kern w:val="44"/>
      <w:sz w:val="44"/>
      <w:szCs w:val="44"/>
    </w:rPr>
  </w:style>
  <w:style w:type="character" w:customStyle="1" w:styleId="88">
    <w:name w:val="标题 2 字符"/>
    <w:link w:val="3"/>
    <w:autoRedefine/>
    <w:qFormat/>
    <w:uiPriority w:val="0"/>
    <w:rPr>
      <w:rFonts w:ascii="等线 Light" w:hAnsi="等线 Light" w:eastAsia="等线 Light"/>
      <w:b/>
      <w:bCs/>
      <w:kern w:val="2"/>
      <w:sz w:val="32"/>
      <w:szCs w:val="32"/>
    </w:rPr>
  </w:style>
  <w:style w:type="character" w:customStyle="1" w:styleId="89">
    <w:name w:val="标题 3 字符"/>
    <w:link w:val="4"/>
    <w:autoRedefine/>
    <w:qFormat/>
    <w:uiPriority w:val="0"/>
    <w:rPr>
      <w:b/>
      <w:bCs/>
      <w:kern w:val="2"/>
      <w:sz w:val="32"/>
      <w:szCs w:val="32"/>
    </w:rPr>
  </w:style>
  <w:style w:type="character" w:customStyle="1" w:styleId="90">
    <w:name w:val="标题 9 字符"/>
    <w:link w:val="9"/>
    <w:autoRedefine/>
    <w:semiHidden/>
    <w:qFormat/>
    <w:uiPriority w:val="9"/>
    <w:rPr>
      <w:rFonts w:ascii="等线 Light" w:hAnsi="等线 Light" w:eastAsia="等线 Light"/>
      <w:kern w:val="2"/>
      <w:sz w:val="21"/>
      <w:szCs w:val="21"/>
    </w:rPr>
  </w:style>
  <w:style w:type="character" w:customStyle="1" w:styleId="91">
    <w:name w:val="批注框文本 字符"/>
    <w:link w:val="32"/>
    <w:autoRedefine/>
    <w:qFormat/>
    <w:uiPriority w:val="0"/>
    <w:rPr>
      <w:kern w:val="2"/>
      <w:sz w:val="18"/>
      <w:szCs w:val="18"/>
    </w:rPr>
  </w:style>
  <w:style w:type="character" w:customStyle="1" w:styleId="92">
    <w:name w:val="正文文本_"/>
    <w:link w:val="71"/>
    <w:autoRedefine/>
    <w:qFormat/>
    <w:locked/>
    <w:uiPriority w:val="0"/>
    <w:rPr>
      <w:rFonts w:ascii="Arial Unicode MS" w:hAnsi="Arial Unicode MS" w:eastAsia="Arial Unicode MS" w:cs="Arial Unicode MS"/>
      <w:sz w:val="22"/>
      <w:szCs w:val="22"/>
      <w:shd w:val="clear" w:color="auto" w:fill="FFFFFF"/>
    </w:rPr>
  </w:style>
  <w:style w:type="character" w:customStyle="1" w:styleId="93">
    <w:name w:val="正文文本2"/>
    <w:autoRedefine/>
    <w:qFormat/>
    <w:uiPriority w:val="0"/>
    <w:rPr>
      <w:rFonts w:ascii="Arial Unicode MS" w:hAnsi="Arial Unicode MS" w:eastAsia="Arial Unicode MS" w:cs="Arial Unicode MS"/>
      <w:color w:val="000000"/>
      <w:spacing w:val="0"/>
      <w:w w:val="100"/>
      <w:position w:val="0"/>
      <w:sz w:val="22"/>
      <w:szCs w:val="22"/>
      <w:shd w:val="clear" w:color="auto" w:fill="FFFFFF"/>
      <w:lang w:val="zh-CN"/>
    </w:rPr>
  </w:style>
  <w:style w:type="character" w:customStyle="1" w:styleId="94">
    <w:name w:val="正文文本3"/>
    <w:autoRedefine/>
    <w:qFormat/>
    <w:uiPriority w:val="0"/>
    <w:rPr>
      <w:rFonts w:ascii="Arial Unicode MS" w:hAnsi="Arial Unicode MS" w:eastAsia="Arial Unicode MS" w:cs="Arial Unicode MS"/>
      <w:color w:val="000000"/>
      <w:spacing w:val="0"/>
      <w:w w:val="100"/>
      <w:position w:val="0"/>
      <w:sz w:val="22"/>
      <w:szCs w:val="22"/>
      <w:shd w:val="clear" w:color="auto" w:fill="FFFFFF"/>
      <w:lang w:val="zh-CN"/>
    </w:rPr>
  </w:style>
  <w:style w:type="character" w:customStyle="1" w:styleId="95">
    <w:name w:val="表格标题"/>
    <w:autoRedefine/>
    <w:qFormat/>
    <w:uiPriority w:val="0"/>
    <w:rPr>
      <w:rFonts w:hint="eastAsia" w:ascii="Arial Unicode MS" w:hAnsi="Arial Unicode MS" w:eastAsia="Arial Unicode MS" w:cs="Arial Unicode MS"/>
      <w:color w:val="000000"/>
      <w:spacing w:val="0"/>
      <w:w w:val="100"/>
      <w:position w:val="0"/>
      <w:sz w:val="22"/>
      <w:szCs w:val="22"/>
      <w:u w:val="none"/>
      <w:lang w:val="zh-CN"/>
    </w:rPr>
  </w:style>
  <w:style w:type="character" w:customStyle="1" w:styleId="96">
    <w:name w:val="正文文本 + 7 pt"/>
    <w:autoRedefine/>
    <w:qFormat/>
    <w:uiPriority w:val="0"/>
    <w:rPr>
      <w:rFonts w:ascii="Arial Unicode MS" w:hAnsi="Arial Unicode MS" w:eastAsia="Arial Unicode MS" w:cs="Arial Unicode MS"/>
      <w:color w:val="000000"/>
      <w:spacing w:val="0"/>
      <w:w w:val="100"/>
      <w:position w:val="0"/>
      <w:sz w:val="14"/>
      <w:szCs w:val="14"/>
      <w:shd w:val="clear" w:color="auto" w:fill="FFFFFF"/>
    </w:rPr>
  </w:style>
  <w:style w:type="character" w:customStyle="1" w:styleId="97">
    <w:name w:val="apple-converted-space"/>
    <w:autoRedefine/>
    <w:qFormat/>
    <w:uiPriority w:val="0"/>
  </w:style>
  <w:style w:type="character" w:customStyle="1" w:styleId="98">
    <w:name w:val="样式 首行缩进:  2 字符 Char1"/>
    <w:link w:val="76"/>
    <w:autoRedefine/>
    <w:qFormat/>
    <w:uiPriority w:val="0"/>
    <w:rPr>
      <w:rFonts w:cs="宋体"/>
      <w:kern w:val="2"/>
      <w:sz w:val="24"/>
    </w:rPr>
  </w:style>
  <w:style w:type="character" w:customStyle="1" w:styleId="99">
    <w:name w:val="正文文本缩进 字符"/>
    <w:link w:val="23"/>
    <w:autoRedefine/>
    <w:qFormat/>
    <w:uiPriority w:val="0"/>
    <w:rPr>
      <w:rFonts w:ascii="楷体_GB2312" w:eastAsia="楷体_GB2312"/>
      <w:sz w:val="32"/>
    </w:rPr>
  </w:style>
  <w:style w:type="character" w:customStyle="1" w:styleId="100">
    <w:name w:val="正文文本缩进 Char1"/>
    <w:autoRedefine/>
    <w:qFormat/>
    <w:uiPriority w:val="99"/>
    <w:rPr>
      <w:kern w:val="2"/>
      <w:sz w:val="21"/>
      <w:szCs w:val="24"/>
    </w:rPr>
  </w:style>
  <w:style w:type="character" w:customStyle="1" w:styleId="101">
    <w:name w:val="页脚 字符"/>
    <w:link w:val="33"/>
    <w:autoRedefine/>
    <w:qFormat/>
    <w:locked/>
    <w:uiPriority w:val="99"/>
    <w:rPr>
      <w:kern w:val="2"/>
      <w:sz w:val="18"/>
    </w:rPr>
  </w:style>
  <w:style w:type="character" w:customStyle="1" w:styleId="102">
    <w:name w:val="批注文字 字符"/>
    <w:link w:val="19"/>
    <w:autoRedefine/>
    <w:qFormat/>
    <w:uiPriority w:val="0"/>
    <w:rPr>
      <w:kern w:val="2"/>
      <w:sz w:val="21"/>
    </w:rPr>
  </w:style>
  <w:style w:type="character" w:customStyle="1" w:styleId="103">
    <w:name w:val="批注主题 字符"/>
    <w:link w:val="48"/>
    <w:autoRedefine/>
    <w:qFormat/>
    <w:uiPriority w:val="0"/>
    <w:rPr>
      <w:b/>
      <w:bCs/>
      <w:kern w:val="2"/>
      <w:sz w:val="21"/>
      <w:szCs w:val="24"/>
    </w:rPr>
  </w:style>
  <w:style w:type="paragraph" w:customStyle="1" w:styleId="104">
    <w:name w:val="Char Char Char Char Char Char Char1 Char"/>
    <w:basedOn w:val="1"/>
    <w:autoRedefine/>
    <w:qFormat/>
    <w:uiPriority w:val="99"/>
    <w:rPr>
      <w:rFonts w:ascii="Tahoma" w:hAnsi="Tahoma"/>
      <w:sz w:val="24"/>
      <w:szCs w:val="20"/>
    </w:rPr>
  </w:style>
  <w:style w:type="paragraph" w:customStyle="1" w:styleId="105">
    <w:name w:val="数字正文"/>
    <w:basedOn w:val="1"/>
    <w:autoRedefine/>
    <w:qFormat/>
    <w:uiPriority w:val="99"/>
    <w:pPr>
      <w:spacing w:beforeLines="50" w:afterLines="50" w:line="360" w:lineRule="auto"/>
      <w:ind w:firstLine="480" w:firstLineChars="200"/>
    </w:pPr>
    <w:rPr>
      <w:bCs/>
      <w:color w:val="000000"/>
      <w:kern w:val="0"/>
      <w:sz w:val="24"/>
      <w:lang w:val="zh-CN"/>
    </w:rPr>
  </w:style>
  <w:style w:type="paragraph" w:customStyle="1" w:styleId="106">
    <w:name w:val="D&amp;L"/>
    <w:basedOn w:val="34"/>
    <w:autoRedefine/>
    <w:qFormat/>
    <w:uiPriority w:val="99"/>
    <w:pPr>
      <w:pBdr>
        <w:bottom w:val="thinThickSmallGap" w:color="auto" w:sz="18" w:space="1"/>
      </w:pBdr>
      <w:adjustRightInd w:val="0"/>
      <w:snapToGrid/>
      <w:spacing w:line="240" w:lineRule="atLeast"/>
      <w:textAlignment w:val="baseline"/>
    </w:pPr>
    <w:rPr>
      <w:kern w:val="0"/>
      <w:sz w:val="24"/>
      <w:szCs w:val="20"/>
      <w:lang w:val="zh-CN"/>
    </w:rPr>
  </w:style>
  <w:style w:type="paragraph" w:customStyle="1" w:styleId="107">
    <w:name w:val="文档正文"/>
    <w:basedOn w:val="1"/>
    <w:autoRedefine/>
    <w:qFormat/>
    <w:uiPriority w:val="99"/>
    <w:pPr>
      <w:spacing w:line="160" w:lineRule="atLeast"/>
    </w:pPr>
    <w:rPr>
      <w:rFonts w:ascii="仿宋_GB2312"/>
      <w:szCs w:val="21"/>
    </w:rPr>
  </w:style>
  <w:style w:type="character" w:customStyle="1" w:styleId="108">
    <w:name w:val="纯文本 字符"/>
    <w:link w:val="27"/>
    <w:autoRedefine/>
    <w:qFormat/>
    <w:locked/>
    <w:uiPriority w:val="0"/>
    <w:rPr>
      <w:rFonts w:ascii="宋体" w:hAnsi="Courier New"/>
      <w:kern w:val="2"/>
      <w:sz w:val="21"/>
    </w:rPr>
  </w:style>
  <w:style w:type="character" w:customStyle="1" w:styleId="109">
    <w:name w:val="纯文本 Char"/>
    <w:basedOn w:val="52"/>
    <w:autoRedefine/>
    <w:qFormat/>
    <w:uiPriority w:val="0"/>
    <w:rPr>
      <w:rFonts w:ascii="宋体" w:hAnsi="Courier New" w:cs="Courier New"/>
      <w:kern w:val="2"/>
      <w:sz w:val="21"/>
      <w:szCs w:val="21"/>
    </w:rPr>
  </w:style>
  <w:style w:type="paragraph" w:customStyle="1" w:styleId="110">
    <w:name w:val="正文_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111">
    <w:name w:val="List Paragraph"/>
    <w:basedOn w:val="1"/>
    <w:autoRedefine/>
    <w:unhideWhenUsed/>
    <w:qFormat/>
    <w:uiPriority w:val="34"/>
    <w:pPr>
      <w:ind w:firstLine="420" w:firstLineChars="200"/>
    </w:pPr>
  </w:style>
  <w:style w:type="character" w:customStyle="1" w:styleId="112">
    <w:name w:val="标题 4 字符"/>
    <w:basedOn w:val="52"/>
    <w:link w:val="5"/>
    <w:autoRedefine/>
    <w:qFormat/>
    <w:uiPriority w:val="0"/>
    <w:rPr>
      <w:rFonts w:ascii="Arial" w:hAnsi="Arial" w:eastAsia="黑体"/>
      <w:b/>
      <w:bCs/>
      <w:kern w:val="2"/>
      <w:sz w:val="28"/>
      <w:szCs w:val="28"/>
    </w:rPr>
  </w:style>
  <w:style w:type="character" w:customStyle="1" w:styleId="113">
    <w:name w:val="标题 5 字符"/>
    <w:basedOn w:val="52"/>
    <w:link w:val="6"/>
    <w:autoRedefine/>
    <w:qFormat/>
    <w:uiPriority w:val="0"/>
    <w:rPr>
      <w:rFonts w:ascii="宋体" w:hAnsi="Arial"/>
      <w:bCs/>
      <w:kern w:val="2"/>
      <w:sz w:val="28"/>
    </w:rPr>
  </w:style>
  <w:style w:type="character" w:customStyle="1" w:styleId="114">
    <w:name w:val="标题 6 字符"/>
    <w:basedOn w:val="52"/>
    <w:link w:val="7"/>
    <w:autoRedefine/>
    <w:qFormat/>
    <w:uiPriority w:val="0"/>
    <w:rPr>
      <w:rFonts w:ascii="宋体" w:hAnsi="宋体"/>
      <w:sz w:val="28"/>
    </w:rPr>
  </w:style>
  <w:style w:type="character" w:customStyle="1" w:styleId="115">
    <w:name w:val="标题 7 字符"/>
    <w:basedOn w:val="52"/>
    <w:link w:val="8"/>
    <w:autoRedefine/>
    <w:qFormat/>
    <w:uiPriority w:val="0"/>
    <w:rPr>
      <w:rFonts w:ascii="Arial" w:hAnsi="Arial" w:eastAsia="仿宋_GB2312" w:cs="Arial"/>
      <w:b/>
      <w:bCs/>
      <w:spacing w:val="-4"/>
      <w:kern w:val="2"/>
      <w:sz w:val="24"/>
      <w:szCs w:val="24"/>
    </w:rPr>
  </w:style>
  <w:style w:type="character" w:customStyle="1" w:styleId="116">
    <w:name w:val="正文文本缩进 2 字符"/>
    <w:basedOn w:val="52"/>
    <w:link w:val="31"/>
    <w:autoRedefine/>
    <w:qFormat/>
    <w:uiPriority w:val="0"/>
    <w:rPr>
      <w:rFonts w:ascii="Arial" w:hAnsi="Arial" w:eastAsia="仿宋_GB2312"/>
      <w:kern w:val="2"/>
      <w:sz w:val="32"/>
    </w:rPr>
  </w:style>
  <w:style w:type="character" w:customStyle="1" w:styleId="117">
    <w:name w:val="正文文本缩进 3 字符"/>
    <w:basedOn w:val="52"/>
    <w:link w:val="40"/>
    <w:autoRedefine/>
    <w:qFormat/>
    <w:uiPriority w:val="0"/>
    <w:rPr>
      <w:rFonts w:ascii="仿宋_GB2312" w:hAnsi="Arial" w:eastAsia="仿宋_GB2312"/>
      <w:color w:val="000000"/>
      <w:kern w:val="2"/>
      <w:sz w:val="30"/>
    </w:rPr>
  </w:style>
  <w:style w:type="character" w:customStyle="1" w:styleId="118">
    <w:name w:val="日期 字符"/>
    <w:basedOn w:val="52"/>
    <w:link w:val="30"/>
    <w:autoRedefine/>
    <w:qFormat/>
    <w:uiPriority w:val="0"/>
    <w:rPr>
      <w:b/>
      <w:kern w:val="2"/>
      <w:sz w:val="28"/>
      <w:lang w:val="zh-CN" w:eastAsia="zh-CN"/>
    </w:rPr>
  </w:style>
  <w:style w:type="paragraph" w:customStyle="1" w:styleId="119">
    <w:name w:val="访问过的超链接1"/>
    <w:autoRedefine/>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120">
    <w:name w:val="正文文本 2 字符"/>
    <w:basedOn w:val="52"/>
    <w:link w:val="45"/>
    <w:autoRedefine/>
    <w:qFormat/>
    <w:uiPriority w:val="0"/>
    <w:rPr>
      <w:rFonts w:ascii="仿宋_GB2312" w:eastAsia="仿宋_GB2312"/>
      <w:b/>
      <w:kern w:val="2"/>
      <w:sz w:val="24"/>
    </w:rPr>
  </w:style>
  <w:style w:type="character" w:customStyle="1" w:styleId="121">
    <w:name w:val="文档结构图 字符"/>
    <w:basedOn w:val="52"/>
    <w:link w:val="17"/>
    <w:autoRedefine/>
    <w:qFormat/>
    <w:uiPriority w:val="0"/>
    <w:rPr>
      <w:kern w:val="2"/>
      <w:sz w:val="21"/>
      <w:shd w:val="clear" w:color="auto" w:fill="000080"/>
    </w:rPr>
  </w:style>
  <w:style w:type="character" w:customStyle="1" w:styleId="122">
    <w:name w:val="正文文本 3 字符"/>
    <w:basedOn w:val="52"/>
    <w:link w:val="21"/>
    <w:autoRedefine/>
    <w:qFormat/>
    <w:uiPriority w:val="0"/>
    <w:rPr>
      <w:rFonts w:ascii="黑体" w:hAnsi="Arial" w:eastAsia="黑体"/>
      <w:b/>
      <w:kern w:val="2"/>
      <w:sz w:val="28"/>
    </w:rPr>
  </w:style>
  <w:style w:type="paragraph" w:customStyle="1" w:styleId="123">
    <w:name w:val="font5"/>
    <w:basedOn w:val="1"/>
    <w:autoRedefine/>
    <w:qFormat/>
    <w:uiPriority w:val="0"/>
    <w:pPr>
      <w:widowControl/>
      <w:spacing w:before="100" w:beforeAutospacing="1" w:after="100" w:afterAutospacing="1"/>
      <w:jc w:val="left"/>
    </w:pPr>
    <w:rPr>
      <w:rFonts w:hint="eastAsia" w:ascii="宋体" w:hAnsi="宋体"/>
      <w:kern w:val="0"/>
      <w:sz w:val="18"/>
      <w:szCs w:val="18"/>
    </w:rPr>
  </w:style>
  <w:style w:type="paragraph" w:customStyle="1" w:styleId="124">
    <w:name w:val="font6"/>
    <w:basedOn w:val="1"/>
    <w:autoRedefine/>
    <w:qFormat/>
    <w:uiPriority w:val="0"/>
    <w:pPr>
      <w:widowControl/>
      <w:spacing w:before="100" w:beforeAutospacing="1" w:after="100" w:afterAutospacing="1"/>
      <w:jc w:val="left"/>
    </w:pPr>
    <w:rPr>
      <w:rFonts w:hint="eastAsia" w:ascii="宋体" w:hAnsi="宋体"/>
      <w:kern w:val="0"/>
      <w:sz w:val="18"/>
      <w:szCs w:val="18"/>
    </w:rPr>
  </w:style>
  <w:style w:type="paragraph" w:customStyle="1" w:styleId="125">
    <w:name w:val="font7"/>
    <w:basedOn w:val="1"/>
    <w:autoRedefine/>
    <w:qFormat/>
    <w:uiPriority w:val="0"/>
    <w:pPr>
      <w:widowControl/>
      <w:spacing w:before="100" w:beforeAutospacing="1" w:after="100" w:afterAutospacing="1"/>
      <w:jc w:val="left"/>
    </w:pPr>
    <w:rPr>
      <w:rFonts w:hint="eastAsia" w:ascii="幼圆" w:hAnsi="宋体" w:eastAsia="幼圆"/>
      <w:kern w:val="0"/>
      <w:sz w:val="32"/>
      <w:szCs w:val="32"/>
    </w:rPr>
  </w:style>
  <w:style w:type="paragraph" w:customStyle="1" w:styleId="126">
    <w:name w:val="font8"/>
    <w:basedOn w:val="1"/>
    <w:autoRedefine/>
    <w:qFormat/>
    <w:uiPriority w:val="0"/>
    <w:pPr>
      <w:widowControl/>
      <w:spacing w:before="100" w:beforeAutospacing="1" w:after="100" w:afterAutospacing="1"/>
      <w:jc w:val="left"/>
    </w:pPr>
    <w:rPr>
      <w:rFonts w:hint="eastAsia" w:ascii="宋体" w:hAnsi="宋体"/>
      <w:color w:val="000000"/>
      <w:kern w:val="0"/>
      <w:sz w:val="32"/>
      <w:szCs w:val="32"/>
    </w:rPr>
  </w:style>
  <w:style w:type="paragraph" w:customStyle="1" w:styleId="127">
    <w:name w:val="font9"/>
    <w:basedOn w:val="1"/>
    <w:autoRedefine/>
    <w:qFormat/>
    <w:uiPriority w:val="0"/>
    <w:pPr>
      <w:widowControl/>
      <w:spacing w:before="100" w:beforeAutospacing="1" w:after="100" w:afterAutospacing="1"/>
      <w:jc w:val="left"/>
    </w:pPr>
    <w:rPr>
      <w:rFonts w:hint="eastAsia" w:ascii="幼圆" w:hAnsi="宋体" w:eastAsia="幼圆"/>
      <w:kern w:val="0"/>
      <w:sz w:val="32"/>
      <w:szCs w:val="32"/>
    </w:rPr>
  </w:style>
  <w:style w:type="paragraph" w:customStyle="1" w:styleId="128">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32"/>
      <w:szCs w:val="32"/>
    </w:rPr>
  </w:style>
  <w:style w:type="paragraph" w:customStyle="1" w:styleId="129">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幼圆" w:hAnsi="宋体" w:eastAsia="幼圆"/>
      <w:kern w:val="0"/>
      <w:sz w:val="32"/>
      <w:szCs w:val="32"/>
    </w:rPr>
  </w:style>
  <w:style w:type="paragraph" w:customStyle="1" w:styleId="130">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32"/>
      <w:szCs w:val="32"/>
    </w:rPr>
  </w:style>
  <w:style w:type="paragraph" w:customStyle="1" w:styleId="131">
    <w:name w:val="xl7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hint="eastAsia" w:ascii="幼圆" w:hAnsi="宋体" w:eastAsia="幼圆"/>
      <w:kern w:val="0"/>
      <w:sz w:val="32"/>
      <w:szCs w:val="32"/>
    </w:rPr>
  </w:style>
  <w:style w:type="paragraph" w:customStyle="1" w:styleId="132">
    <w:name w:val="xl31"/>
    <w:basedOn w:val="1"/>
    <w:autoRedefine/>
    <w:qFormat/>
    <w:uiPriority w:val="0"/>
    <w:pPr>
      <w:widowControl/>
      <w:spacing w:before="100" w:beforeAutospacing="1" w:after="100" w:afterAutospacing="1"/>
      <w:jc w:val="center"/>
    </w:pPr>
    <w:rPr>
      <w:rFonts w:ascii="宋体" w:hAnsi="宋体"/>
      <w:b/>
      <w:bCs/>
      <w:kern w:val="0"/>
      <w:sz w:val="28"/>
      <w:szCs w:val="28"/>
    </w:rPr>
  </w:style>
  <w:style w:type="character" w:customStyle="1" w:styleId="133">
    <w:name w:val="正文文本 字符"/>
    <w:basedOn w:val="52"/>
    <w:link w:val="22"/>
    <w:autoRedefine/>
    <w:qFormat/>
    <w:uiPriority w:val="0"/>
    <w:rPr>
      <w:rFonts w:ascii="宋体" w:hAnsi="Arial"/>
      <w:kern w:val="2"/>
      <w:sz w:val="28"/>
    </w:rPr>
  </w:style>
  <w:style w:type="character" w:customStyle="1" w:styleId="134">
    <w:name w:val="正文文本首行缩进 字符"/>
    <w:basedOn w:val="133"/>
    <w:link w:val="49"/>
    <w:autoRedefine/>
    <w:qFormat/>
    <w:uiPriority w:val="0"/>
    <w:rPr>
      <w:rFonts w:ascii="Arial" w:hAnsi="Arial" w:eastAsia="仿宋_GB2312" w:cs="Arial"/>
      <w:kern w:val="2"/>
      <w:sz w:val="24"/>
      <w:szCs w:val="32"/>
    </w:rPr>
  </w:style>
  <w:style w:type="paragraph" w:customStyle="1" w:styleId="135">
    <w:name w:val="基本文字 Char"/>
    <w:basedOn w:val="1"/>
    <w:autoRedefine/>
    <w:qFormat/>
    <w:uiPriority w:val="0"/>
    <w:pPr>
      <w:spacing w:before="156" w:line="400" w:lineRule="atLeast"/>
      <w:ind w:firstLine="540" w:firstLineChars="225"/>
    </w:pPr>
    <w:rPr>
      <w:sz w:val="24"/>
      <w:szCs w:val="20"/>
    </w:rPr>
  </w:style>
  <w:style w:type="paragraph" w:customStyle="1" w:styleId="136">
    <w:name w:val="文章正文"/>
    <w:basedOn w:val="1"/>
    <w:autoRedefine/>
    <w:qFormat/>
    <w:uiPriority w:val="0"/>
    <w:pPr>
      <w:spacing w:beforeLines="50" w:afterLines="50" w:line="320" w:lineRule="exact"/>
      <w:ind w:firstLine="200" w:firstLineChars="200"/>
    </w:pPr>
    <w:rPr>
      <w:rFonts w:ascii="仿宋_GB2312" w:eastAsia="仿宋_GB2312"/>
      <w:sz w:val="28"/>
    </w:rPr>
  </w:style>
  <w:style w:type="paragraph" w:customStyle="1" w:styleId="137">
    <w:name w:val="二级标题"/>
    <w:basedOn w:val="1"/>
    <w:next w:val="136"/>
    <w:autoRedefine/>
    <w:qFormat/>
    <w:uiPriority w:val="0"/>
    <w:pPr>
      <w:tabs>
        <w:tab w:val="left" w:pos="992"/>
      </w:tabs>
      <w:ind w:left="992" w:hanging="567"/>
      <w:outlineLvl w:val="1"/>
    </w:pPr>
    <w:rPr>
      <w:rFonts w:ascii="黑体" w:eastAsia="黑体"/>
      <w:sz w:val="28"/>
    </w:rPr>
  </w:style>
  <w:style w:type="paragraph" w:customStyle="1" w:styleId="138">
    <w:name w:val="一级标题"/>
    <w:basedOn w:val="1"/>
    <w:next w:val="137"/>
    <w:autoRedefine/>
    <w:qFormat/>
    <w:uiPriority w:val="0"/>
    <w:pPr>
      <w:tabs>
        <w:tab w:val="left" w:pos="425"/>
      </w:tabs>
      <w:spacing w:afterLines="100"/>
      <w:ind w:left="850" w:hanging="425"/>
      <w:outlineLvl w:val="0"/>
    </w:pPr>
    <w:rPr>
      <w:rFonts w:ascii="黑体" w:eastAsia="黑体"/>
      <w:sz w:val="30"/>
      <w:szCs w:val="28"/>
    </w:rPr>
  </w:style>
  <w:style w:type="paragraph" w:customStyle="1" w:styleId="139">
    <w:name w:val="SUR-需求定义-第4级"/>
    <w:basedOn w:val="5"/>
    <w:next w:val="1"/>
    <w:autoRedefine/>
    <w:qFormat/>
    <w:uiPriority w:val="0"/>
    <w:pPr>
      <w:tabs>
        <w:tab w:val="left" w:pos="1080"/>
      </w:tabs>
      <w:spacing w:before="0" w:after="0"/>
      <w:ind w:left="-283" w:firstLine="283"/>
      <w:jc w:val="left"/>
    </w:pPr>
    <w:rPr>
      <w:rFonts w:cs="Arial"/>
      <w:b w:val="0"/>
      <w:color w:val="0000FF"/>
      <w:sz w:val="24"/>
      <w:szCs w:val="24"/>
    </w:rPr>
  </w:style>
  <w:style w:type="paragraph" w:customStyle="1" w:styleId="140">
    <w:name w:val="样式1"/>
    <w:basedOn w:val="1"/>
    <w:autoRedefine/>
    <w:qFormat/>
    <w:uiPriority w:val="0"/>
    <w:pPr>
      <w:adjustRightInd w:val="0"/>
      <w:textAlignment w:val="baseline"/>
    </w:pPr>
    <w:rPr>
      <w:rFonts w:ascii="宋体" w:hAnsi="宋体"/>
      <w:kern w:val="0"/>
      <w:szCs w:val="20"/>
    </w:rPr>
  </w:style>
  <w:style w:type="paragraph" w:customStyle="1" w:styleId="141">
    <w:name w:val="_Style 8"/>
    <w:basedOn w:val="1"/>
    <w:autoRedefine/>
    <w:qFormat/>
    <w:uiPriority w:val="0"/>
    <w:rPr>
      <w:szCs w:val="20"/>
    </w:rPr>
  </w:style>
  <w:style w:type="paragraph" w:customStyle="1" w:styleId="142">
    <w:name w:val="已访问的超链接1"/>
    <w:autoRedefine/>
    <w:qFormat/>
    <w:uiPriority w:val="99"/>
    <w:pPr>
      <w:widowControl w:val="0"/>
      <w:jc w:val="both"/>
    </w:pPr>
    <w:rPr>
      <w:rFonts w:ascii="Times New Roman" w:hAnsi="Times New Roman" w:eastAsia="宋体" w:cs="Times New Roman"/>
      <w:kern w:val="2"/>
      <w:sz w:val="21"/>
      <w:lang w:val="en-US" w:eastAsia="zh-CN" w:bidi="ar-SA"/>
    </w:rPr>
  </w:style>
  <w:style w:type="character" w:customStyle="1" w:styleId="143">
    <w:name w:val="Body text_"/>
    <w:autoRedefine/>
    <w:qFormat/>
    <w:uiPriority w:val="0"/>
    <w:rPr>
      <w:rFonts w:ascii="MingLiU" w:hAnsi="MingLiU" w:eastAsia="MingLiU" w:cs="MingLiU"/>
      <w:sz w:val="19"/>
      <w:szCs w:val="19"/>
      <w:shd w:val="clear" w:color="auto" w:fill="FFFFFF"/>
    </w:rPr>
  </w:style>
  <w:style w:type="character" w:customStyle="1" w:styleId="144">
    <w:name w:val="Body text + SimSun"/>
    <w:autoRedefine/>
    <w:qFormat/>
    <w:uiPriority w:val="0"/>
    <w:rPr>
      <w:rFonts w:ascii="宋体" w:hAnsi="宋体" w:eastAsia="宋体" w:cs="宋体"/>
      <w:color w:val="000000"/>
      <w:spacing w:val="0"/>
      <w:w w:val="100"/>
      <w:position w:val="0"/>
      <w:sz w:val="17"/>
      <w:szCs w:val="17"/>
      <w:shd w:val="clear" w:color="auto" w:fill="FFFFFF"/>
      <w:lang w:val="en-US"/>
    </w:rPr>
  </w:style>
  <w:style w:type="paragraph" w:customStyle="1" w:styleId="145">
    <w:name w:val="修订1"/>
    <w:autoRedefine/>
    <w:unhideWhenUsed/>
    <w:qFormat/>
    <w:uiPriority w:val="99"/>
    <w:rPr>
      <w:rFonts w:ascii="Calibri" w:hAnsi="Calibri" w:eastAsia="宋体" w:cs="Times New Roman"/>
      <w:kern w:val="2"/>
      <w:sz w:val="21"/>
      <w:lang w:val="en-US" w:eastAsia="zh-CN" w:bidi="ar-SA"/>
    </w:rPr>
  </w:style>
  <w:style w:type="table" w:customStyle="1" w:styleId="146">
    <w:name w:val="网格型1"/>
    <w:basedOn w:val="50"/>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7">
    <w:name w:val="网格型2"/>
    <w:basedOn w:val="50"/>
    <w:autoRedefine/>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8">
    <w:name w:val="修订2"/>
    <w:autoRedefine/>
    <w:hidden/>
    <w:unhideWhenUsed/>
    <w:qFormat/>
    <w:uiPriority w:val="99"/>
    <w:rPr>
      <w:rFonts w:ascii="Times New Roman" w:hAnsi="Times New Roman" w:eastAsia="宋体" w:cs="Times New Roman"/>
      <w:kern w:val="2"/>
      <w:sz w:val="21"/>
      <w:szCs w:val="24"/>
      <w:lang w:val="en-US" w:eastAsia="zh-CN" w:bidi="ar-SA"/>
    </w:rPr>
  </w:style>
  <w:style w:type="paragraph" w:customStyle="1" w:styleId="149">
    <w:name w:val="Revision"/>
    <w:autoRedefine/>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8B5624-C26D-4B16-98BA-DC17B7E62E2B}">
  <ds:schemaRefs/>
</ds:datastoreItem>
</file>

<file path=docProps/app.xml><?xml version="1.0" encoding="utf-8"?>
<Properties xmlns="http://schemas.openxmlformats.org/officeDocument/2006/extended-properties" xmlns:vt="http://schemas.openxmlformats.org/officeDocument/2006/docPropsVTypes">
  <Template>Normal.dotm</Template>
  <Company>落雪梨花——扬帆技术论坛更新版</Company>
  <Pages>21</Pages>
  <Words>1992</Words>
  <Characters>11357</Characters>
  <Lines>94</Lines>
  <Paragraphs>26</Paragraphs>
  <TotalTime>68</TotalTime>
  <ScaleCrop>false</ScaleCrop>
  <LinksUpToDate>false</LinksUpToDate>
  <CharactersWithSpaces>13323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2024-01-04T09:09:00Z</dcterms:created>
  <dc:creator>user</dc:creator>
  <cp:lastModifiedBy>长龙</cp:lastModifiedBy>
  <cp:lastPrinted>2024-01-04T11:59:00Z</cp:lastPrinted>
  <dcterms:modified xsi:type="dcterms:W3CDTF">2024-01-04T13:21:05Z</dcterms:modified>
  <dc:title>某项目需求标前公示</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FDBF3CCE73CA4ED5BC87D46A8213EC74_13</vt:lpwstr>
  </property>
</Properties>
</file>